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3.jpeg" ContentType="image/jpeg"/>
  <Override PartName="/word/media/image1.png" ContentType="image/png"/>
  <Override PartName="/word/media/image2.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Arial"/>
        </w:rPr>
      </w:pPr>
      <w:r>
        <w:rPr>
          <w:rFonts w:cs="Arial"/>
        </w:rPr>
      </w:r>
      <w:bookmarkStart w:id="0" w:name="_GoBack"/>
      <w:bookmarkStart w:id="1" w:name="_GoBack"/>
      <w:bookmarkEnd w:id="1"/>
    </w:p>
    <w:p>
      <w:pPr>
        <w:pStyle w:val="Normal"/>
        <w:jc w:val="center"/>
        <w:rPr>
          <w:b/>
          <w:b/>
          <w:bCs/>
          <w:sz w:val="32"/>
          <w:szCs w:val="32"/>
        </w:rPr>
      </w:pPr>
      <w:r>
        <w:rPr>
          <w:b/>
          <w:bCs/>
          <w:sz w:val="32"/>
          <w:szCs w:val="32"/>
        </w:rPr>
        <w:t>ET</w:t>
      </w:r>
      <w:r>
        <w:rPr>
          <w:b/>
          <w:bCs/>
          <w:sz w:val="32"/>
          <w:szCs w:val="32"/>
        </w:rPr>
        <w:t>F</w:t>
      </w:r>
      <w:r>
        <w:rPr>
          <w:b/>
          <w:bCs/>
          <w:sz w:val="32"/>
          <w:szCs w:val="32"/>
        </w:rPr>
        <w:t xml:space="preserve">-ATM extended SC  </w:t>
      </w:r>
      <w:r>
        <w:rPr>
          <w:b/>
          <w:bCs/>
          <w:sz w:val="32"/>
          <w:szCs w:val="32"/>
        </w:rPr>
        <w:t>draft minutes</w:t>
      </w:r>
    </w:p>
    <w:p>
      <w:pPr>
        <w:pStyle w:val="Normal"/>
        <w:jc w:val="center"/>
        <w:rPr>
          <w:b w:val="false"/>
          <w:b w:val="false"/>
          <w:bCs w:val="false"/>
          <w:sz w:val="28"/>
          <w:szCs w:val="28"/>
        </w:rPr>
      </w:pPr>
      <w:r>
        <w:rPr>
          <w:b w:val="false"/>
          <w:bCs w:val="false"/>
          <w:sz w:val="28"/>
          <w:szCs w:val="28"/>
        </w:rPr>
        <w:t>March 13th 2019</w:t>
      </w:r>
    </w:p>
    <w:p>
      <w:pPr>
        <w:pStyle w:val="Normal"/>
        <w:rPr/>
      </w:pPr>
      <w:r>
        <w:rPr/>
      </w:r>
    </w:p>
    <w:p>
      <w:pPr>
        <w:pStyle w:val="Normal"/>
        <w:rPr>
          <w:b/>
          <w:b/>
          <w:bCs/>
        </w:rPr>
      </w:pPr>
      <w:r>
        <w:rPr>
          <w:b/>
          <w:bCs/>
        </w:rPr>
      </w:r>
    </w:p>
    <w:p>
      <w:pPr>
        <w:pStyle w:val="Normal"/>
        <w:jc w:val="both"/>
        <w:rPr>
          <w:b/>
          <w:b/>
          <w:bCs/>
        </w:rPr>
      </w:pPr>
      <w:r>
        <w:rPr>
          <w:b/>
          <w:bCs/>
        </w:rPr>
        <w:t>Report from the WAC</w:t>
      </w:r>
    </w:p>
    <w:p>
      <w:pPr>
        <w:pStyle w:val="Normal"/>
        <w:jc w:val="both"/>
        <w:rPr/>
      </w:pPr>
      <w:r>
        <w:rPr/>
      </w:r>
    </w:p>
    <w:p>
      <w:pPr>
        <w:pStyle w:val="Normal"/>
        <w:jc w:val="both"/>
        <w:rPr/>
      </w:pPr>
      <w:r>
        <w:rPr>
          <w:u w:val="none"/>
        </w:rPr>
        <w:t>- Fragmentation in ATM</w:t>
      </w:r>
      <w:r>
        <w:rPr/>
        <w:t xml:space="preserve"> (Charles) :</w:t>
      </w:r>
      <w:r>
        <w:rPr/>
        <w:t xml:space="preserve">We attended a presentation with several </w:t>
      </w:r>
      <w:r>
        <w:rPr/>
        <w:t>Head of op</w:t>
      </w:r>
      <w:r>
        <w:rPr/>
        <w:t>eration</w:t>
      </w:r>
      <w:r>
        <w:rPr/>
        <w:t xml:space="preserve">s </w:t>
      </w:r>
      <w:r>
        <w:rPr/>
        <w:t>from different ANSPs, debating</w:t>
      </w:r>
      <w:r>
        <w:rPr/>
        <w:t xml:space="preserve"> about </w:t>
      </w:r>
      <w:r>
        <w:rPr/>
        <w:t xml:space="preserve">the </w:t>
      </w:r>
      <w:r>
        <w:rPr/>
        <w:t>A</w:t>
      </w:r>
      <w:r>
        <w:rPr/>
        <w:t xml:space="preserve">irspace </w:t>
      </w:r>
      <w:r>
        <w:rPr/>
        <w:t>A</w:t>
      </w:r>
      <w:r>
        <w:rPr/>
        <w:t>rchitecture Study</w:t>
      </w:r>
      <w:r>
        <w:rPr/>
        <w:t xml:space="preserve">, cross border services,.. </w:t>
      </w:r>
      <w:r>
        <w:rPr/>
        <w:t>We learned nothing new.</w:t>
      </w:r>
    </w:p>
    <w:p>
      <w:pPr>
        <w:pStyle w:val="Normal"/>
        <w:jc w:val="both"/>
        <w:rPr/>
      </w:pPr>
      <w:r>
        <w:rPr/>
      </w:r>
    </w:p>
    <w:p>
      <w:pPr>
        <w:pStyle w:val="Normal"/>
        <w:jc w:val="both"/>
        <w:rPr/>
      </w:pPr>
      <w:r>
        <w:rPr/>
        <w:t xml:space="preserve">- The </w:t>
      </w:r>
      <w:r>
        <w:rPr/>
        <w:t xml:space="preserve">ICB named « staff » for award, </w:t>
      </w:r>
      <w:r>
        <w:rPr/>
        <w:t xml:space="preserve">but it was </w:t>
      </w:r>
      <w:r>
        <w:rPr/>
        <w:t xml:space="preserve">namely IFATCA, IFATCEA, </w:t>
      </w:r>
      <w:r>
        <w:rPr/>
        <w:t>etc.. not ETF.</w:t>
      </w:r>
    </w:p>
    <w:p>
      <w:pPr>
        <w:pStyle w:val="Normal"/>
        <w:jc w:val="both"/>
        <w:rPr/>
      </w:pPr>
      <w:r>
        <w:rPr/>
      </w:r>
    </w:p>
    <w:p>
      <w:pPr>
        <w:pStyle w:val="Normal"/>
        <w:jc w:val="both"/>
        <w:rPr/>
      </w:pPr>
      <w:r>
        <w:rPr/>
        <w:t>- Presentation on FatigueRiskManagmentSystem showed the p</w:t>
      </w:r>
      <w:r>
        <w:rPr/>
        <w:t xml:space="preserve">roblem of fatigue tracking devices. </w:t>
      </w:r>
      <w:r>
        <w:rPr/>
        <w:t>We think this is</w:t>
      </w:r>
      <w:r>
        <w:rPr/>
        <w:t xml:space="preserve"> OK for research in a lab, </w:t>
      </w:r>
      <w:r>
        <w:rPr/>
        <w:t xml:space="preserve">but </w:t>
      </w:r>
      <w:r>
        <w:rPr/>
        <w:t xml:space="preserve">not </w:t>
      </w:r>
      <w:r>
        <w:rPr/>
        <w:t xml:space="preserve">to be used </w:t>
      </w:r>
      <w:r>
        <w:rPr/>
        <w:t>during duty hours.</w:t>
      </w:r>
    </w:p>
    <w:p>
      <w:pPr>
        <w:pStyle w:val="Normal"/>
        <w:jc w:val="both"/>
        <w:rPr/>
      </w:pPr>
      <w:r>
        <w:rPr/>
        <w:t xml:space="preserve">Niall : </w:t>
      </w:r>
      <w:r>
        <w:rPr/>
        <w:t xml:space="preserve">the </w:t>
      </w:r>
      <w:r>
        <w:rPr/>
        <w:t xml:space="preserve">fatigue </w:t>
      </w:r>
      <w:r>
        <w:rPr/>
        <w:t>presentation</w:t>
      </w:r>
      <w:r>
        <w:rPr/>
        <w:t xml:space="preserve"> didn’t go into detail on </w:t>
      </w:r>
      <w:r>
        <w:rPr/>
        <w:t xml:space="preserve">the </w:t>
      </w:r>
      <w:r>
        <w:rPr/>
        <w:t xml:space="preserve">effects. </w:t>
      </w:r>
    </w:p>
    <w:p>
      <w:pPr>
        <w:pStyle w:val="Normal"/>
        <w:jc w:val="both"/>
        <w:rPr/>
      </w:pPr>
      <w:r>
        <w:rPr/>
      </w:r>
    </w:p>
    <w:p>
      <w:pPr>
        <w:pStyle w:val="Normal"/>
        <w:jc w:val="both"/>
        <w:rPr/>
      </w:pPr>
      <w:r>
        <w:rPr/>
        <w:t>- Remote tower </w:t>
      </w:r>
      <w:r>
        <w:rPr/>
        <w:t>(Gauthier)</w:t>
      </w:r>
      <w:r>
        <w:rPr/>
        <w:t xml:space="preserve">: </w:t>
      </w:r>
      <w:r>
        <w:rPr/>
        <w:t>We saw the new</w:t>
      </w:r>
      <w:r>
        <w:rPr/>
        <w:t xml:space="preserve"> norwegian R</w:t>
      </w:r>
      <w:r>
        <w:rPr/>
        <w:t>emote</w:t>
      </w:r>
      <w:r>
        <w:rPr/>
        <w:t>T</w:t>
      </w:r>
      <w:r>
        <w:rPr/>
        <w:t>ower</w:t>
      </w:r>
      <w:r>
        <w:rPr/>
        <w:t>C</w:t>
      </w:r>
      <w:r>
        <w:rPr/>
        <w:t xml:space="preserve">center setup, which includes </w:t>
      </w:r>
      <w:r>
        <w:rPr/>
        <w:t xml:space="preserve">2 centers (1 main, 1 backup), </w:t>
      </w:r>
      <w:r>
        <w:rPr/>
        <w:t>that will be</w:t>
      </w:r>
      <w:r>
        <w:rPr/>
        <w:t xml:space="preserve"> in op</w:t>
      </w:r>
      <w:r>
        <w:rPr/>
        <w:t>eration</w:t>
      </w:r>
      <w:r>
        <w:rPr/>
        <w:t xml:space="preserve"> this Fall (september). </w:t>
      </w:r>
      <w:r>
        <w:rPr/>
        <w:t>The</w:t>
      </w:r>
      <w:r>
        <w:rPr/>
        <w:t xml:space="preserve"> quality of the image is really good, you can see above (pan), but </w:t>
      </w:r>
      <w:r>
        <w:rPr/>
        <w:t xml:space="preserve">the </w:t>
      </w:r>
      <w:r>
        <w:rPr/>
        <w:t>framerate is a problem (5 hz, lag</w:t>
      </w:r>
      <w:r>
        <w:rPr/>
        <w:t>ging image</w:t>
      </w:r>
      <w:r>
        <w:rPr/>
        <w:t>)</w:t>
      </w:r>
    </w:p>
    <w:p>
      <w:pPr>
        <w:pStyle w:val="Normal"/>
        <w:jc w:val="both"/>
        <w:rPr/>
      </w:pPr>
      <w:r>
        <w:rPr/>
      </w:r>
    </w:p>
    <w:p>
      <w:pPr>
        <w:pStyle w:val="Normal"/>
        <w:jc w:val="both"/>
        <w:rPr/>
      </w:pPr>
      <w:r>
        <w:rPr/>
        <w:t>- F</w:t>
      </w:r>
      <w:r>
        <w:rPr/>
        <w:t xml:space="preserve">ree </w:t>
      </w:r>
      <w:r>
        <w:rPr/>
        <w:t>R</w:t>
      </w:r>
      <w:r>
        <w:rPr/>
        <w:t xml:space="preserve">oute </w:t>
      </w:r>
      <w:r>
        <w:rPr/>
        <w:t>A</w:t>
      </w:r>
      <w:r>
        <w:rPr/>
        <w:t>irspace</w:t>
      </w:r>
      <w:r>
        <w:rPr/>
        <w:t> : manager</w:t>
      </w:r>
      <w:r>
        <w:rPr/>
        <w:t>s</w:t>
      </w:r>
      <w:r>
        <w:rPr/>
        <w:t xml:space="preserve"> focus on </w:t>
      </w:r>
      <w:r>
        <w:rPr/>
        <w:t xml:space="preserve">the fact that </w:t>
      </w:r>
      <w:r>
        <w:rPr/>
        <w:t xml:space="preserve">FRA may build better performance : if there is FRA everywhere and staff shortage </w:t>
      </w:r>
      <w:r>
        <w:rPr/>
        <w:t>happens</w:t>
      </w:r>
      <w:r>
        <w:rPr/>
        <w:t xml:space="preserve">, they can offload the sector to another center. </w:t>
      </w:r>
      <w:r>
        <w:rPr/>
        <w:t>T</w:t>
      </w:r>
      <w:r>
        <w:rPr/>
        <w:t xml:space="preserve">here is a SESAR project about that, </w:t>
      </w:r>
      <w:r>
        <w:rPr/>
        <w:t xml:space="preserve">called </w:t>
      </w:r>
      <w:r>
        <w:rPr/>
        <w:t>non geographical ATCO trai</w:t>
      </w:r>
      <w:r>
        <w:rPr/>
        <w:t>n</w:t>
      </w:r>
      <w:r>
        <w:rPr/>
        <w:t xml:space="preserve">ing, </w:t>
      </w:r>
      <w:r>
        <w:rPr/>
        <w:t xml:space="preserve">for which a </w:t>
      </w:r>
      <w:r>
        <w:rPr/>
        <w:t xml:space="preserve">validation happened last december, but </w:t>
      </w:r>
      <w:r>
        <w:rPr/>
        <w:t xml:space="preserve">it is </w:t>
      </w:r>
      <w:r>
        <w:rPr/>
        <w:t xml:space="preserve">V1 only </w:t>
      </w:r>
      <w:r>
        <w:rPr/>
        <w:t>(</w:t>
      </w:r>
      <w:r>
        <w:rPr/>
        <w:t xml:space="preserve">paperwork). </w:t>
      </w:r>
      <w:r>
        <w:rPr/>
        <w:t>(Charles)</w:t>
      </w:r>
    </w:p>
    <w:p>
      <w:pPr>
        <w:pStyle w:val="Normal"/>
        <w:jc w:val="both"/>
        <w:rPr/>
      </w:pPr>
      <w:r>
        <w:rPr/>
      </w:r>
    </w:p>
    <w:p>
      <w:pPr>
        <w:pStyle w:val="Normal"/>
        <w:jc w:val="both"/>
        <w:rPr/>
      </w:pPr>
      <w:r>
        <w:rPr/>
        <w:t> </w:t>
      </w:r>
      <w:r>
        <w:rPr/>
        <w:t>- INDRA on new ATM automation </w:t>
      </w:r>
      <w:r>
        <w:rPr/>
        <w:t>(</w:t>
      </w:r>
      <w:r>
        <w:rPr/>
        <w:t>Arnaud</w:t>
      </w:r>
      <w:r>
        <w:rPr/>
        <w:t>)</w:t>
      </w:r>
      <w:r>
        <w:rPr/>
        <w:t xml:space="preserve">: </w:t>
      </w:r>
      <w:r>
        <w:rPr/>
        <w:t xml:space="preserve">this envisions that </w:t>
      </w:r>
      <w:r>
        <w:rPr/>
        <w:t>ATSU</w:t>
      </w:r>
      <w:r>
        <w:rPr/>
        <w:t>s are</w:t>
      </w:r>
      <w:r>
        <w:rPr/>
        <w:t xml:space="preserve"> seperated from ADSP, using data center</w:t>
      </w:r>
      <w:r>
        <w:rPr/>
        <w:t>s</w:t>
      </w:r>
      <w:r>
        <w:rPr/>
        <w:t xml:space="preserve">, </w:t>
      </w:r>
      <w:r>
        <w:rPr/>
        <w:t xml:space="preserve">that </w:t>
      </w:r>
      <w:r>
        <w:rPr/>
        <w:t>remote tower</w:t>
      </w:r>
      <w:r>
        <w:rPr/>
        <w:t>s</w:t>
      </w:r>
      <w:r>
        <w:rPr/>
        <w:t xml:space="preserve"> </w:t>
      </w:r>
      <w:r>
        <w:rPr/>
        <w:t>have</w:t>
      </w:r>
      <w:r>
        <w:rPr/>
        <w:t xml:space="preserve"> flexible allocation, </w:t>
      </w:r>
      <w:r>
        <w:rPr/>
        <w:t xml:space="preserve">and </w:t>
      </w:r>
      <w:r>
        <w:rPr/>
        <w:t>push</w:t>
      </w:r>
      <w:r>
        <w:rPr/>
        <w:t>es</w:t>
      </w:r>
      <w:r>
        <w:rPr/>
        <w:t xml:space="preserve"> for </w:t>
      </w:r>
      <w:r>
        <w:rPr/>
        <w:t xml:space="preserve">a wider adoption of </w:t>
      </w:r>
      <w:r>
        <w:rPr/>
        <w:t xml:space="preserve">GBAS and ADSB </w:t>
      </w:r>
      <w:r>
        <w:rPr/>
        <w:t>technologies</w:t>
      </w:r>
      <w:r>
        <w:rPr/>
        <w:t>.</w:t>
      </w:r>
    </w:p>
    <w:p>
      <w:pPr>
        <w:pStyle w:val="Normal"/>
        <w:rPr/>
      </w:pPr>
      <w:r>
        <w:rPr/>
      </w:r>
    </w:p>
    <w:p>
      <w:pPr>
        <w:pStyle w:val="Normal"/>
        <w:rPr/>
      </w:pPr>
      <w:r>
        <w:rPr/>
        <w:t>Brennan said passengers are becoming fed up because of delays,</w:t>
      </w:r>
      <w:r>
        <w:rPr/>
        <w:t>and</w:t>
      </w:r>
      <w:r>
        <w:rPr/>
        <w:t xml:space="preserve"> doesn’t see the link with RP2.</w:t>
      </w:r>
    </w:p>
    <w:p>
      <w:pPr>
        <w:pStyle w:val="Normal"/>
        <w:rPr/>
      </w:pPr>
      <w:r>
        <w:rPr/>
      </w:r>
    </w:p>
    <w:p>
      <w:pPr>
        <w:pStyle w:val="Normal"/>
        <w:rPr/>
      </w:pPr>
      <w:r>
        <w:rPr/>
        <w:t>There were l</w:t>
      </w:r>
      <w:r>
        <w:rPr/>
        <w:t>ess FAB booths, SESAR « disappeared »</w:t>
      </w:r>
    </w:p>
    <w:p>
      <w:pPr>
        <w:pStyle w:val="Normal"/>
        <w:pBdr>
          <w:bottom w:val="single" w:sz="2" w:space="2" w:color="000000"/>
        </w:pBdr>
        <w:rPr/>
      </w:pPr>
      <w:r>
        <w:rPr/>
      </w:r>
    </w:p>
    <w:p>
      <w:pPr>
        <w:pStyle w:val="Normal"/>
        <w:pBdr>
          <w:bottom w:val="single" w:sz="2" w:space="2" w:color="000000"/>
        </w:pBdr>
        <w:rPr/>
      </w:pPr>
      <w:r>
        <w:rPr/>
      </w:r>
    </w:p>
    <w:p>
      <w:pPr>
        <w:pStyle w:val="Normal"/>
        <w:rPr/>
      </w:pPr>
      <w:r>
        <w:rPr/>
      </w:r>
    </w:p>
    <w:p>
      <w:pPr>
        <w:pStyle w:val="Normal"/>
        <w:rPr/>
      </w:pPr>
      <w:r>
        <w:rPr>
          <w:b/>
          <w:bCs/>
        </w:rPr>
        <w:t xml:space="preserve">Performance </w:t>
      </w:r>
      <w:r>
        <w:rPr>
          <w:b/>
          <w:bCs/>
        </w:rPr>
        <w:t>and charging scheme</w:t>
      </w:r>
      <w:r>
        <w:rPr/>
        <w:t xml:space="preserve"> (</w:t>
      </w:r>
      <w:r>
        <w:rPr/>
        <w:t>A</w:t>
      </w:r>
      <w:r>
        <w:rPr/>
        <w:t>aron)</w:t>
      </w:r>
    </w:p>
    <w:p>
      <w:pPr>
        <w:pStyle w:val="Normal"/>
        <w:rPr/>
      </w:pPr>
      <w:r>
        <w:rPr/>
      </w:r>
    </w:p>
    <w:p>
      <w:pPr>
        <w:pStyle w:val="Normal"/>
        <w:jc w:val="both"/>
        <w:rPr/>
      </w:pPr>
      <w:r>
        <w:rPr/>
        <w:t>A n</w:t>
      </w:r>
      <w:r>
        <w:rPr/>
        <w:t xml:space="preserve">ew scheme </w:t>
      </w:r>
      <w:r>
        <w:rPr/>
        <w:t xml:space="preserve">has been </w:t>
      </w:r>
      <w:r>
        <w:rPr/>
        <w:t xml:space="preserve">published </w:t>
      </w:r>
      <w:r>
        <w:rPr/>
        <w:t xml:space="preserve">on </w:t>
      </w:r>
      <w:r>
        <w:rPr/>
        <w:t xml:space="preserve">Feb 11th, </w:t>
      </w:r>
      <w:r>
        <w:rPr/>
        <w:t>and we are now preparing the</w:t>
      </w:r>
      <w:r>
        <w:rPr/>
        <w:t xml:space="preserve"> objectives for RP3</w:t>
      </w:r>
    </w:p>
    <w:p>
      <w:pPr>
        <w:pStyle w:val="Normal"/>
        <w:jc w:val="both"/>
        <w:rPr/>
      </w:pPr>
      <w:r>
        <w:rPr/>
      </w:r>
    </w:p>
    <w:p>
      <w:pPr>
        <w:pStyle w:val="Normal"/>
        <w:jc w:val="both"/>
        <w:rPr>
          <w:u w:val="single"/>
        </w:rPr>
      </w:pPr>
      <w:r>
        <w:rPr>
          <w:u w:val="single"/>
        </w:rPr>
        <w:t>Update on cha</w:t>
      </w:r>
      <w:r>
        <w:rPr>
          <w:u w:val="single"/>
        </w:rPr>
        <w:t>rging</w:t>
      </w:r>
      <w:r>
        <w:rPr>
          <w:u w:val="single"/>
        </w:rPr>
        <w:t xml:space="preserve"> regulation</w:t>
      </w:r>
    </w:p>
    <w:p>
      <w:pPr>
        <w:pStyle w:val="Normal"/>
        <w:jc w:val="both"/>
        <w:rPr/>
      </w:pPr>
      <w:r>
        <w:rPr/>
        <w:t xml:space="preserve">Before, </w:t>
      </w:r>
      <w:r>
        <w:rPr/>
        <w:t xml:space="preserve">the </w:t>
      </w:r>
      <w:r>
        <w:rPr/>
        <w:t>perf</w:t>
      </w:r>
      <w:r>
        <w:rPr/>
        <w:t>ormance</w:t>
      </w:r>
      <w:r>
        <w:rPr/>
        <w:t xml:space="preserve"> and charging </w:t>
      </w:r>
      <w:r>
        <w:rPr/>
        <w:t xml:space="preserve">schemes </w:t>
      </w:r>
      <w:r>
        <w:rPr/>
        <w:t xml:space="preserve">were split, </w:t>
      </w:r>
      <w:r>
        <w:rPr/>
        <w:t xml:space="preserve">they are </w:t>
      </w:r>
      <w:r>
        <w:rPr/>
        <w:t xml:space="preserve">now combined in </w:t>
      </w:r>
      <w:r>
        <w:rPr/>
        <w:t xml:space="preserve">Regulation </w:t>
      </w:r>
      <w:r>
        <w:rPr/>
        <w:t>2019/317.</w:t>
      </w:r>
    </w:p>
    <w:p>
      <w:pPr>
        <w:pStyle w:val="Normal"/>
        <w:jc w:val="both"/>
        <w:rPr/>
      </w:pPr>
      <w:r>
        <w:rPr/>
      </w:r>
    </w:p>
    <w:p>
      <w:pPr>
        <w:pStyle w:val="Normal"/>
        <w:jc w:val="both"/>
        <w:rPr/>
      </w:pPr>
      <w:r>
        <w:rPr/>
        <w:t xml:space="preserve">RP3 will cover </w:t>
      </w:r>
      <w:r>
        <w:rPr/>
        <w:t>5 year</w:t>
      </w:r>
      <w:r>
        <w:rPr/>
        <w:t>s, from</w:t>
      </w:r>
      <w:r>
        <w:rPr/>
        <w:t xml:space="preserve"> 20</w:t>
      </w:r>
      <w:r>
        <w:rPr/>
        <w:t>20 to 20</w:t>
      </w:r>
      <w:r>
        <w:rPr/>
        <w:t>24.</w:t>
      </w:r>
    </w:p>
    <w:p>
      <w:pPr>
        <w:pStyle w:val="Normal"/>
        <w:jc w:val="both"/>
        <w:rPr/>
      </w:pPr>
      <w:r>
        <w:rPr/>
        <w:t xml:space="preserve">- Incentive : max bonus 2 %, penalty 4 % </w:t>
      </w:r>
      <w:r>
        <w:rPr/>
        <w:t>(previsouly they were symmetric). It used to be calculated on revenue, this has changed now to ANSP determined cost.</w:t>
      </w:r>
    </w:p>
    <w:p>
      <w:pPr>
        <w:pStyle w:val="Normal"/>
        <w:jc w:val="both"/>
        <w:rPr/>
      </w:pPr>
      <w:r>
        <w:rPr/>
        <w:t>- Traffic risk sharing </w:t>
      </w:r>
      <w:r>
        <w:rPr/>
        <w:t xml:space="preserve">(protect the ANSP if traffic different from forecast) </w:t>
      </w:r>
      <w:r>
        <w:rPr/>
        <w:t>:</w:t>
      </w:r>
    </w:p>
    <w:p>
      <w:pPr>
        <w:pStyle w:val="Normal"/>
        <w:numPr>
          <w:ilvl w:val="0"/>
          <w:numId w:val="1"/>
        </w:numPr>
        <w:jc w:val="both"/>
        <w:rPr/>
      </w:pPr>
      <w:r>
        <w:rPr/>
        <w:t>2 % : all risk</w:t>
      </w:r>
    </w:p>
    <w:p>
      <w:pPr>
        <w:pStyle w:val="Normal"/>
        <w:numPr>
          <w:ilvl w:val="0"/>
          <w:numId w:val="1"/>
        </w:numPr>
        <w:jc w:val="both"/>
        <w:rPr/>
      </w:pPr>
      <w:r>
        <w:rPr/>
        <w:t>2 – 10 % traffic : 70 % risk can be claimed (two years after)</w:t>
      </w:r>
    </w:p>
    <w:p>
      <w:pPr>
        <w:pStyle w:val="Normal"/>
        <w:numPr>
          <w:ilvl w:val="0"/>
          <w:numId w:val="1"/>
        </w:numPr>
        <w:jc w:val="both"/>
        <w:rPr/>
      </w:pPr>
      <w:r>
        <w:rPr/>
        <w:t>over 10 % : full recovery / repaid to airlines.</w:t>
      </w:r>
    </w:p>
    <w:p>
      <w:pPr>
        <w:pStyle w:val="Normal"/>
        <w:jc w:val="both"/>
        <w:rPr/>
      </w:pPr>
      <w:r>
        <w:rPr/>
        <w:t xml:space="preserve">- </w:t>
      </w:r>
      <w:r>
        <w:rPr/>
        <w:t>There is now the possi</w:t>
      </w:r>
      <w:r>
        <w:rPr/>
        <w:t xml:space="preserve">bility to use </w:t>
      </w:r>
      <w:r>
        <w:rPr/>
        <w:t xml:space="preserve">a </w:t>
      </w:r>
      <w:r>
        <w:rPr/>
        <w:t xml:space="preserve">different trafic forecast instead of STAFOR if </w:t>
      </w:r>
      <w:r>
        <w:rPr/>
        <w:t xml:space="preserve">your </w:t>
      </w:r>
      <w:r>
        <w:rPr/>
        <w:t xml:space="preserve">NSA allows  </w:t>
      </w:r>
      <w:r>
        <w:rPr/>
        <w:t xml:space="preserve">(for </w:t>
      </w:r>
      <w:r>
        <w:rPr/>
        <w:t xml:space="preserve">example NATS has </w:t>
      </w:r>
      <w:r>
        <w:rPr/>
        <w:t xml:space="preserve">an </w:t>
      </w:r>
      <w:r>
        <w:rPr/>
        <w:t xml:space="preserve">analytical team who built a forecast). </w:t>
      </w:r>
      <w:r>
        <w:rPr/>
        <w:t>It is no</w:t>
      </w:r>
      <w:r>
        <w:rPr/>
        <w:t xml:space="preserve"> longer required to </w:t>
      </w:r>
      <w:r>
        <w:rPr/>
        <w:t>have</w:t>
      </w:r>
      <w:r>
        <w:rPr/>
        <w:t xml:space="preserve"> a FAB plan .</w:t>
      </w:r>
    </w:p>
    <w:p>
      <w:pPr>
        <w:pStyle w:val="Normal"/>
        <w:jc w:val="both"/>
        <w:rPr/>
      </w:pPr>
      <w:r>
        <w:rPr/>
      </w:r>
    </w:p>
    <w:p>
      <w:pPr>
        <w:pStyle w:val="Normal"/>
        <w:jc w:val="both"/>
        <w:rPr/>
      </w:pPr>
      <w:r>
        <w:rPr/>
        <w:t xml:space="preserve">The </w:t>
      </w:r>
      <w:r>
        <w:rPr/>
        <w:t xml:space="preserve">plans </w:t>
      </w:r>
      <w:r>
        <w:rPr/>
        <w:t xml:space="preserve">are to be </w:t>
      </w:r>
      <w:r>
        <w:rPr/>
        <w:t xml:space="preserve">submitted to </w:t>
      </w:r>
      <w:r>
        <w:rPr/>
        <w:t xml:space="preserve">the </w:t>
      </w:r>
      <w:r>
        <w:rPr/>
        <w:t>E</w:t>
      </w:r>
      <w:r>
        <w:rPr/>
        <w:t xml:space="preserve">uropean </w:t>
      </w:r>
      <w:r>
        <w:rPr/>
        <w:t>C</w:t>
      </w:r>
      <w:r>
        <w:rPr/>
        <w:t>ommission</w:t>
      </w:r>
      <w:r>
        <w:rPr/>
        <w:t xml:space="preserve"> by 1st oct 2019 for </w:t>
      </w:r>
      <w:r>
        <w:rPr/>
        <w:t xml:space="preserve">a </w:t>
      </w:r>
      <w:r>
        <w:rPr/>
        <w:t xml:space="preserve">basic check. </w:t>
      </w:r>
      <w:r>
        <w:rPr/>
        <w:t>The f</w:t>
      </w:r>
      <w:r>
        <w:rPr/>
        <w:t xml:space="preserve">ull assessment </w:t>
      </w:r>
      <w:r>
        <w:rPr/>
        <w:t xml:space="preserve">is </w:t>
      </w:r>
      <w:r>
        <w:rPr/>
        <w:t xml:space="preserve">planned by </w:t>
      </w:r>
      <w:r>
        <w:rPr/>
        <w:t xml:space="preserve">the </w:t>
      </w:r>
      <w:r>
        <w:rPr/>
        <w:t>E</w:t>
      </w:r>
      <w:r>
        <w:rPr/>
        <w:t xml:space="preserve">uropean </w:t>
      </w:r>
      <w:r>
        <w:rPr/>
        <w:t>C</w:t>
      </w:r>
      <w:r>
        <w:rPr/>
        <w:t>ommission</w:t>
      </w:r>
      <w:r>
        <w:rPr/>
        <w:t xml:space="preserve"> on march 2020. All targets </w:t>
      </w:r>
      <w:r>
        <w:rPr/>
        <w:t>are</w:t>
      </w:r>
      <w:r>
        <w:rPr/>
        <w:t xml:space="preserve"> subject to final confirmation.</w:t>
      </w:r>
    </w:p>
    <w:p>
      <w:pPr>
        <w:pStyle w:val="Normal"/>
        <w:jc w:val="both"/>
        <w:rPr/>
      </w:pPr>
      <w:r>
        <w:rPr/>
      </w:r>
    </w:p>
    <w:p>
      <w:pPr>
        <w:pStyle w:val="Normal"/>
        <w:jc w:val="both"/>
        <w:rPr/>
      </w:pPr>
      <w:r>
        <w:rPr/>
        <w:t>- KPI :</w:t>
      </w:r>
    </w:p>
    <w:p>
      <w:pPr>
        <w:pStyle w:val="Normal"/>
        <w:numPr>
          <w:ilvl w:val="0"/>
          <w:numId w:val="2"/>
        </w:numPr>
        <w:jc w:val="both"/>
        <w:rPr/>
      </w:pPr>
      <w:r>
        <w:rPr/>
        <w:t>safety : only ANSP have safety KPA (not Member States anymore) ;</w:t>
      </w:r>
    </w:p>
    <w:p>
      <w:pPr>
        <w:pStyle w:val="Normal"/>
        <w:numPr>
          <w:ilvl w:val="0"/>
          <w:numId w:val="2"/>
        </w:numPr>
        <w:jc w:val="both"/>
        <w:rPr/>
      </w:pPr>
      <w:r>
        <w:rPr/>
        <w:t>Environment : the last filed flight plan is no longer used, only radar data. Helios study for FabCE showed that 60 % of airlines don’t file the most efficient flight plan, because CSP are not able to make full use of the flexible airspace offered. Target KEA for RP3 goes from 2,53 to 2,40 % for period the period 2020 to 2024.</w:t>
      </w:r>
    </w:p>
    <w:p>
      <w:pPr>
        <w:pStyle w:val="Normal"/>
        <w:numPr>
          <w:ilvl w:val="0"/>
          <w:numId w:val="2"/>
        </w:numPr>
        <w:jc w:val="both"/>
        <w:rPr/>
      </w:pPr>
      <w:r>
        <w:rPr/>
        <w:t>Capacity : 2018 situation is 1,83 minutes en-route ATFM delay per flight. The target for 2020 is 0,9 minutes. It goes down to 0,5 for 2024. Problem of this number, appart from being unrealistic, is that it doesn’t give the full picture. For example some countries try to manage to have 15 min delays on more flights instead of one having 45 minutes. This doesn’t appear in the global figure.</w:t>
      </w:r>
    </w:p>
    <w:p>
      <w:pPr>
        <w:pStyle w:val="Normal"/>
        <w:numPr>
          <w:ilvl w:val="0"/>
          <w:numId w:val="2"/>
        </w:numPr>
        <w:jc w:val="both"/>
        <w:rPr/>
      </w:pPr>
      <w:r>
        <w:rPr/>
        <w:t>Cost efficiency : determined unit cost reduction. There is an issue on the starting point to be used (PRB wants to take 2017 total cost, which is lower than 2019. This allows to artificially show a 2,3 % reduction rate instead of 4). The long term target trend is - 3,4 % per annum.</w:t>
      </w:r>
    </w:p>
    <w:p>
      <w:pPr>
        <w:pStyle w:val="Normal"/>
        <w:jc w:val="both"/>
        <w:rPr/>
      </w:pPr>
      <w:r>
        <w:rPr/>
      </w:r>
    </w:p>
    <w:p>
      <w:pPr>
        <w:pStyle w:val="Normal"/>
        <w:jc w:val="both"/>
        <w:rPr>
          <w:u w:val="single"/>
        </w:rPr>
      </w:pPr>
      <w:r>
        <w:rPr>
          <w:u w:val="single"/>
        </w:rPr>
        <w:t>Where we are in the process</w:t>
      </w:r>
    </w:p>
    <w:p>
      <w:pPr>
        <w:pStyle w:val="Normal"/>
        <w:jc w:val="both"/>
        <w:rPr/>
      </w:pPr>
      <w:r>
        <w:rPr/>
      </w:r>
    </w:p>
    <w:p>
      <w:pPr>
        <w:pStyle w:val="Normal"/>
        <w:jc w:val="both"/>
        <w:rPr/>
      </w:pPr>
      <w:r>
        <w:rPr/>
        <w:t xml:space="preserve">A </w:t>
      </w:r>
      <w:r>
        <w:rPr/>
        <w:t>S</w:t>
      </w:r>
      <w:r>
        <w:rPr/>
        <w:t xml:space="preserve">ingle </w:t>
      </w:r>
      <w:r>
        <w:rPr/>
        <w:t>S</w:t>
      </w:r>
      <w:r>
        <w:rPr/>
        <w:t xml:space="preserve">ky </w:t>
      </w:r>
      <w:r>
        <w:rPr/>
        <w:t>C</w:t>
      </w:r>
      <w:r>
        <w:rPr/>
        <w:t>ommittee</w:t>
      </w:r>
      <w:r>
        <w:rPr/>
        <w:t xml:space="preserve"> </w:t>
      </w:r>
      <w:r>
        <w:rPr/>
        <w:t xml:space="preserve">meeting will take place </w:t>
      </w:r>
      <w:r>
        <w:rPr/>
        <w:t xml:space="preserve">at the end of </w:t>
      </w:r>
      <w:r>
        <w:rPr/>
        <w:t>M</w:t>
      </w:r>
      <w:r>
        <w:rPr/>
        <w:t xml:space="preserve">arch to discuss </w:t>
      </w:r>
      <w:r>
        <w:rPr/>
        <w:t>the</w:t>
      </w:r>
      <w:r>
        <w:rPr/>
        <w:t xml:space="preserve"> new proposed targets. </w:t>
      </w:r>
      <w:r>
        <w:rPr/>
        <w:t>It is u</w:t>
      </w:r>
      <w:r>
        <w:rPr/>
        <w:t xml:space="preserve">nsure if </w:t>
      </w:r>
      <w:r>
        <w:rPr/>
        <w:t xml:space="preserve">they </w:t>
      </w:r>
      <w:r>
        <w:rPr/>
        <w:t xml:space="preserve">will be accepted. </w:t>
      </w:r>
      <w:r>
        <w:rPr/>
        <w:t>We are drafting a j</w:t>
      </w:r>
      <w:r>
        <w:rPr/>
        <w:t xml:space="preserve">oint letter </w:t>
      </w:r>
      <w:r>
        <w:rPr/>
        <w:t xml:space="preserve">to be sent to </w:t>
      </w:r>
      <w:r>
        <w:rPr/>
        <w:t>t</w:t>
      </w:r>
      <w:r>
        <w:rPr/>
        <w:t>he</w:t>
      </w:r>
      <w:r>
        <w:rPr/>
        <w:t xml:space="preserve"> M</w:t>
      </w:r>
      <w:r>
        <w:rPr/>
        <w:t xml:space="preserve">ember </w:t>
      </w:r>
      <w:r>
        <w:rPr/>
        <w:t>S</w:t>
      </w:r>
      <w:r>
        <w:rPr/>
        <w:t>tates</w:t>
      </w:r>
      <w:r>
        <w:rPr/>
        <w:t xml:space="preserve">, </w:t>
      </w:r>
      <w:r>
        <w:rPr/>
        <w:t xml:space="preserve">that will be </w:t>
      </w:r>
      <w:r>
        <w:rPr/>
        <w:t>uploaded on the website, public and open.</w:t>
      </w:r>
    </w:p>
    <w:p>
      <w:pPr>
        <w:pStyle w:val="Normal"/>
        <w:jc w:val="both"/>
        <w:rPr/>
      </w:pPr>
      <w:r>
        <w:rPr/>
        <w:t xml:space="preserve">Gauthier : </w:t>
      </w:r>
      <w:r>
        <w:rPr/>
        <w:t xml:space="preserve">a </w:t>
      </w:r>
      <w:r>
        <w:rPr/>
        <w:t xml:space="preserve">meeting in France showed a mixed use of euros2017, 2019, not constant, etc... </w:t>
      </w:r>
      <w:r>
        <w:rPr/>
        <w:t>for example</w:t>
      </w:r>
      <w:r>
        <w:rPr/>
        <w:t xml:space="preserve"> for pension scheme</w:t>
      </w:r>
      <w:r>
        <w:rPr/>
        <w:t>s</w:t>
      </w:r>
      <w:r>
        <w:rPr/>
        <w:t xml:space="preserve">. France is trying to talk to other FABEC </w:t>
      </w:r>
      <w:r>
        <w:rPr/>
        <w:t xml:space="preserve">member </w:t>
      </w:r>
      <w:r>
        <w:rPr/>
        <w:t>to have a common position but not block the process.</w:t>
      </w:r>
    </w:p>
    <w:p>
      <w:pPr>
        <w:pStyle w:val="Normal"/>
        <w:jc w:val="both"/>
        <w:rPr/>
      </w:pPr>
      <w:r>
        <w:rPr/>
        <w:t xml:space="preserve">Charly : </w:t>
      </w:r>
      <w:r>
        <w:rPr/>
        <w:t xml:space="preserve">the </w:t>
      </w:r>
      <w:r>
        <w:rPr/>
        <w:t>main change on charging </w:t>
      </w:r>
      <w:r>
        <w:rPr/>
        <w:t>is that it is</w:t>
      </w:r>
      <w:r>
        <w:rPr/>
        <w:t xml:space="preserve"> now based on </w:t>
      </w:r>
      <w:r>
        <w:rPr/>
        <w:t xml:space="preserve">the </w:t>
      </w:r>
      <w:r>
        <w:rPr/>
        <w:t xml:space="preserve">actual flight flown (between and entry and exit of the charging zone), not </w:t>
      </w:r>
      <w:r>
        <w:rPr/>
        <w:t xml:space="preserve">the </w:t>
      </w:r>
      <w:r>
        <w:rPr/>
        <w:t>last-filed flight plan. For big countries l</w:t>
      </w:r>
      <w:r>
        <w:rPr/>
        <w:t>it might be l</w:t>
      </w:r>
      <w:r>
        <w:rPr/>
        <w:t xml:space="preserve">ess than 1 % different, but for small countries </w:t>
      </w:r>
      <w:r>
        <w:rPr/>
        <w:t xml:space="preserve">it </w:t>
      </w:r>
      <w:r>
        <w:rPr/>
        <w:t>might make a huge difference, as airlines will file their flight plan differently (</w:t>
      </w:r>
      <w:r>
        <w:rPr/>
        <w:t xml:space="preserve">for example some </w:t>
      </w:r>
      <w:r>
        <w:rPr/>
        <w:t>projections </w:t>
      </w:r>
      <w:r>
        <w:rPr/>
        <w:t>show</w:t>
      </w:r>
      <w:r>
        <w:rPr/>
        <w:t xml:space="preserve"> -7 % income for Denmark, Switzerland gets two digits increase).</w:t>
      </w:r>
    </w:p>
    <w:p>
      <w:pPr>
        <w:pStyle w:val="Normal"/>
        <w:pBdr>
          <w:bottom w:val="single" w:sz="2" w:space="2" w:color="000000"/>
        </w:pBdr>
        <w:jc w:val="both"/>
        <w:rPr/>
      </w:pPr>
      <w:r>
        <w:rPr/>
      </w:r>
    </w:p>
    <w:p>
      <w:pPr>
        <w:pStyle w:val="Normal"/>
        <w:jc w:val="both"/>
        <w:rPr/>
      </w:pPr>
      <w:r>
        <w:rPr/>
      </w:r>
    </w:p>
    <w:p>
      <w:pPr>
        <w:pStyle w:val="Normal"/>
        <w:jc w:val="both"/>
        <w:rPr>
          <w:b/>
          <w:b/>
          <w:bCs/>
        </w:rPr>
      </w:pPr>
      <w:r>
        <w:rPr>
          <w:b/>
          <w:bCs/>
        </w:rPr>
        <w:t>Right to strike</w:t>
      </w:r>
    </w:p>
    <w:p>
      <w:pPr>
        <w:pStyle w:val="Normal"/>
        <w:jc w:val="both"/>
        <w:rPr/>
      </w:pPr>
      <w:r>
        <w:rPr/>
      </w:r>
    </w:p>
    <w:p>
      <w:pPr>
        <w:pStyle w:val="Normal"/>
        <w:jc w:val="both"/>
        <w:rPr/>
      </w:pPr>
      <w:r>
        <w:rPr/>
        <w:t>The petition didn’t get</w:t>
      </w:r>
      <w:r>
        <w:rPr/>
        <w:t xml:space="preserve"> many more signatures since </w:t>
      </w:r>
      <w:r>
        <w:rPr/>
        <w:t xml:space="preserve">our </w:t>
      </w:r>
      <w:r>
        <w:rPr/>
        <w:t>last meeting.</w:t>
      </w:r>
    </w:p>
    <w:p>
      <w:pPr>
        <w:pStyle w:val="Normal"/>
        <w:jc w:val="both"/>
        <w:rPr/>
      </w:pPr>
      <w:r>
        <w:rPr/>
      </w:r>
    </w:p>
    <w:p>
      <w:pPr>
        <w:pStyle w:val="Normal"/>
        <w:jc w:val="both"/>
        <w:rPr/>
      </w:pPr>
      <w:r>
        <w:rPr/>
        <w:t>The big Fair Transport d</w:t>
      </w:r>
      <w:r>
        <w:rPr/>
        <w:t xml:space="preserve">emonstration </w:t>
      </w:r>
      <w:r>
        <w:rPr/>
        <w:t xml:space="preserve">will happen </w:t>
      </w:r>
      <w:r>
        <w:rPr/>
        <w:t xml:space="preserve">on March 27th (tranport at large) : </w:t>
      </w:r>
      <w:r>
        <w:rPr/>
        <w:t>b</w:t>
      </w:r>
      <w:r>
        <w:rPr/>
        <w:t>ring flags (country, aviation), no fireworks. We will have a banner for aviation.</w:t>
      </w:r>
    </w:p>
    <w:p>
      <w:pPr>
        <w:pStyle w:val="Normal"/>
        <w:jc w:val="both"/>
        <w:rPr/>
      </w:pPr>
      <w:r>
        <w:rPr/>
        <w:t xml:space="preserve">Information </w:t>
      </w:r>
      <w:r>
        <w:rPr/>
        <w:t xml:space="preserve">is availlable </w:t>
      </w:r>
      <w:r>
        <w:rPr/>
        <w:t xml:space="preserve">on the Fair transport Europe website. </w:t>
      </w:r>
      <w:r>
        <w:rPr/>
        <w:t>J</w:t>
      </w:r>
      <w:r>
        <w:rPr/>
        <w:t xml:space="preserve">oined route from differents countries to come to Brussels </w:t>
      </w:r>
      <w:r>
        <w:rPr/>
        <w:t>are possible</w:t>
      </w:r>
      <w:r>
        <w:rPr/>
        <w:t>.</w:t>
      </w:r>
    </w:p>
    <w:p>
      <w:pPr>
        <w:pStyle w:val="Normal"/>
        <w:pBdr>
          <w:bottom w:val="single" w:sz="2" w:space="2" w:color="000000"/>
        </w:pBdr>
        <w:jc w:val="both"/>
        <w:rPr/>
      </w:pPr>
      <w:r>
        <w:rPr/>
      </w:r>
    </w:p>
    <w:p>
      <w:pPr>
        <w:pStyle w:val="Normal"/>
        <w:jc w:val="both"/>
        <w:rPr/>
      </w:pPr>
      <w:r>
        <w:rPr/>
      </w:r>
    </w:p>
    <w:p>
      <w:pPr>
        <w:pStyle w:val="Normal"/>
        <w:jc w:val="both"/>
        <w:rPr>
          <w:b/>
          <w:b/>
          <w:bCs/>
        </w:rPr>
      </w:pPr>
      <w:r>
        <w:rPr>
          <w:b/>
          <w:bCs/>
        </w:rPr>
        <w:t>Airspace Architecture Study</w:t>
      </w:r>
    </w:p>
    <w:p>
      <w:pPr>
        <w:pStyle w:val="Normal"/>
        <w:jc w:val="both"/>
        <w:rPr/>
      </w:pPr>
      <w:r>
        <w:rPr/>
      </w:r>
    </w:p>
    <w:p>
      <w:pPr>
        <w:pStyle w:val="Normal"/>
        <w:jc w:val="both"/>
        <w:rPr/>
      </w:pPr>
      <w:r>
        <w:rPr/>
        <w:t xml:space="preserve">Forecast : 50 % trafic increase by 2035 → 8,5 min delay per flight. </w:t>
      </w:r>
      <w:r>
        <w:rPr/>
        <w:t xml:space="preserve">The number of </w:t>
      </w:r>
      <w:r>
        <w:rPr/>
        <w:t>congested ACC</w:t>
      </w:r>
      <w:r>
        <w:rPr/>
        <w:t>s goes f</w:t>
      </w:r>
      <w:r>
        <w:rPr/>
        <w:t>rom 5 now to 45 then</w:t>
      </w:r>
      <w:r>
        <w:rPr/>
        <w:t>.</w:t>
      </w:r>
    </w:p>
    <w:p>
      <w:pPr>
        <w:pStyle w:val="Normal"/>
        <w:jc w:val="both"/>
        <w:rPr/>
      </w:pPr>
      <w:r>
        <w:rPr/>
      </w:r>
    </w:p>
    <w:p>
      <w:pPr>
        <w:pStyle w:val="Normal"/>
        <w:jc w:val="both"/>
        <w:rPr/>
      </w:pPr>
      <w:r>
        <w:rPr/>
        <w:t>The study wants to</w:t>
      </w:r>
      <w:r>
        <w:rPr/>
        <w:t xml:space="preserve"> increase ATCO flexibility. </w:t>
      </w:r>
      <w:r>
        <w:rPr/>
        <w:t>It f</w:t>
      </w:r>
      <w:r>
        <w:rPr/>
        <w:t>ocus</w:t>
      </w:r>
      <w:r>
        <w:rPr/>
        <w:t>es</w:t>
      </w:r>
      <w:r>
        <w:rPr/>
        <w:t xml:space="preserve"> on op</w:t>
      </w:r>
      <w:r>
        <w:rPr/>
        <w:t>eration</w:t>
      </w:r>
      <w:r>
        <w:rPr/>
        <w:t xml:space="preserve">s and data services layers, saying there is a lack of scalability and resilience. </w:t>
      </w:r>
      <w:r>
        <w:rPr/>
        <w:t>The plan is t</w:t>
      </w:r>
      <w:r>
        <w:rPr/>
        <w:t xml:space="preserve">o create one european ATM </w:t>
      </w:r>
      <w:r>
        <w:rPr/>
        <w:t xml:space="preserve">technical </w:t>
      </w:r>
      <w:r>
        <w:rPr/>
        <w:t xml:space="preserve">system, with one or few providers of surveillance, flight plan, safety net and conflict detection data, </w:t>
      </w:r>
      <w:r>
        <w:rPr/>
        <w:t>called ATM Data Service Providers (ADSP)</w:t>
      </w:r>
      <w:r>
        <w:rPr/>
        <w:t xml:space="preserve">. This is a more detailed version of </w:t>
      </w:r>
      <w:r>
        <w:rPr/>
        <w:t xml:space="preserve">the </w:t>
      </w:r>
      <w:r>
        <w:rPr/>
        <w:t xml:space="preserve">centralised services initiative, and ANSP </w:t>
      </w:r>
      <w:r>
        <w:rPr/>
        <w:t>w</w:t>
      </w:r>
      <w:r>
        <w:rPr/>
        <w:t xml:space="preserve">ould be incentivised to move to that framework. </w:t>
      </w:r>
      <w:r>
        <w:rPr/>
        <w:t xml:space="preserve">One of the issues is : who owns the data ? Examples of current projects going that way are Germany with neighbour countries, and Coflight for Italy and France. </w:t>
      </w:r>
    </w:p>
    <w:p>
      <w:pPr>
        <w:pStyle w:val="Normal"/>
        <w:jc w:val="both"/>
        <w:rPr/>
      </w:pPr>
      <w:r>
        <w:rPr/>
        <w:t>SESAR pushes non-geographical sectors on top of ADSP.  This could change the labour market for air-traffic controllers. If there is a move to flight centric ATM, airlines could use competition to choose who provides the service.</w:t>
      </w:r>
    </w:p>
    <w:p>
      <w:pPr>
        <w:pStyle w:val="Normal"/>
        <w:jc w:val="both"/>
        <w:rPr/>
      </w:pPr>
      <w:r>
        <w:rPr/>
        <w:t>The study also aks for l</w:t>
      </w:r>
      <w:r>
        <w:rPr/>
        <w:t xml:space="preserve">ess sensors on the ground, </w:t>
      </w:r>
      <w:r>
        <w:rPr/>
        <w:t>be</w:t>
      </w:r>
      <w:r>
        <w:rPr/>
        <w:t xml:space="preserve">cause </w:t>
      </w:r>
      <w:r>
        <w:rPr/>
        <w:t>it states one can</w:t>
      </w:r>
      <w:r>
        <w:rPr/>
        <w:t xml:space="preserve"> use the radars at the border to serve several countries. </w:t>
      </w:r>
      <w:r>
        <w:rPr/>
        <w:t>The s</w:t>
      </w:r>
      <w:r>
        <w:rPr/>
        <w:t>tudy expect</w:t>
      </w:r>
      <w:r>
        <w:rPr/>
        <w:t>s a</w:t>
      </w:r>
      <w:r>
        <w:rPr/>
        <w:t xml:space="preserve"> 50 % reduction in the number of sensors (radars or others).</w:t>
      </w:r>
    </w:p>
    <w:p>
      <w:pPr>
        <w:pStyle w:val="Normal"/>
        <w:jc w:val="both"/>
        <w:rPr/>
      </w:pPr>
      <w:r>
        <w:rPr/>
      </w:r>
    </w:p>
    <w:p>
      <w:pPr>
        <w:pStyle w:val="Normal"/>
        <w:jc w:val="both"/>
        <w:rPr/>
      </w:pPr>
      <w:r>
        <w:rPr/>
        <w:t>All of this brings s</w:t>
      </w:r>
      <w:r>
        <w:rPr/>
        <w:t>evere social issue</w:t>
      </w:r>
      <w:r>
        <w:rPr/>
        <w:t>s</w:t>
      </w:r>
      <w:r>
        <w:rPr/>
        <w:t xml:space="preserve"> for non-ATCO </w:t>
      </w:r>
      <w:r>
        <w:rPr/>
        <w:t xml:space="preserve">personnel </w:t>
      </w:r>
      <w:r>
        <w:rPr/>
        <w:t>: MET, AIS, AIM, ATSEP in charge of sensor</w:t>
      </w:r>
      <w:r>
        <w:rPr/>
        <w:t>s</w:t>
      </w:r>
      <w:r>
        <w:rPr/>
        <w:t>, that would be out</w:t>
      </w:r>
      <w:r>
        <w:rPr/>
        <w:t>sourced</w:t>
      </w:r>
      <w:r>
        <w:rPr/>
        <w:t xml:space="preserve"> of the national ANSPs as we now them. </w:t>
      </w:r>
      <w:r>
        <w:rPr/>
        <w:t>It w</w:t>
      </w:r>
      <w:r>
        <w:rPr/>
        <w:t xml:space="preserve">ould be good to have a meeting to discuss the issue with non-ATCO people </w:t>
      </w:r>
      <w:r>
        <w:rPr/>
        <w:t>before the next ETF-ATM meeting in June. It is proposed that this takes place in Portugal. ETF is to send the invitation.</w:t>
      </w:r>
    </w:p>
    <w:p>
      <w:pPr>
        <w:pStyle w:val="Normal"/>
        <w:jc w:val="both"/>
        <w:rPr/>
      </w:pPr>
      <w:r>
        <w:rPr/>
      </w:r>
    </w:p>
    <w:p>
      <w:pPr>
        <w:pStyle w:val="Normal"/>
        <w:jc w:val="both"/>
        <w:rPr/>
      </w:pPr>
      <w:r>
        <w:rPr/>
        <w:t>If we follow the study, the p</w:t>
      </w:r>
      <w:r>
        <w:rPr/>
        <w:t>owers of the network manager might be extended.</w:t>
      </w:r>
    </w:p>
    <w:p>
      <w:pPr>
        <w:pStyle w:val="Normal"/>
        <w:jc w:val="both"/>
        <w:rPr/>
      </w:pPr>
      <w:r>
        <w:rPr/>
        <w:t xml:space="preserve">Regarding the </w:t>
      </w:r>
      <w:r>
        <w:rPr/>
        <w:t xml:space="preserve">Capacity on </w:t>
      </w:r>
      <w:r>
        <w:rPr/>
        <w:t>D</w:t>
      </w:r>
      <w:r>
        <w:rPr/>
        <w:t xml:space="preserve">emand </w:t>
      </w:r>
      <w:r>
        <w:rPr/>
        <w:t>principle, the</w:t>
      </w:r>
      <w:r>
        <w:rPr/>
        <w:t xml:space="preserve"> issue of revenue </w:t>
      </w:r>
      <w:r>
        <w:rPr/>
        <w:t xml:space="preserve">sharing is </w:t>
      </w:r>
      <w:r>
        <w:rPr/>
        <w:t xml:space="preserve">disregarded by the study. </w:t>
      </w:r>
    </w:p>
    <w:p>
      <w:pPr>
        <w:pStyle w:val="Normal"/>
        <w:jc w:val="both"/>
        <w:rPr/>
      </w:pPr>
      <w:r>
        <w:rPr/>
        <w:t>The r</w:t>
      </w:r>
      <w:r>
        <w:rPr/>
        <w:t>oadmap </w:t>
      </w:r>
      <w:r>
        <w:rPr/>
        <w:t xml:space="preserve">envisions that the </w:t>
      </w:r>
      <w:r>
        <w:rPr/>
        <w:t xml:space="preserve">first ADSP </w:t>
      </w:r>
      <w:r>
        <w:rPr/>
        <w:t xml:space="preserve">would be </w:t>
      </w:r>
      <w:r>
        <w:rPr/>
        <w:t>certified by 2025 ; virtual centres, capacity on demand and ADSP across Europe h</w:t>
      </w:r>
      <w:r>
        <w:rPr/>
        <w:t xml:space="preserve">appen </w:t>
      </w:r>
      <w:r>
        <w:rPr/>
        <w:t>by 2030 ; flight/flow centric operation by 2035. T</w:t>
      </w:r>
      <w:r>
        <w:rPr/>
        <w:t>he s</w:t>
      </w:r>
      <w:r>
        <w:rPr/>
        <w:t>tudy consider</w:t>
      </w:r>
      <w:r>
        <w:rPr/>
        <w:t>s</w:t>
      </w:r>
      <w:r>
        <w:rPr/>
        <w:t xml:space="preserve"> that by implementing all this, </w:t>
      </w:r>
      <w:r>
        <w:rPr/>
        <w:t>en-route</w:t>
      </w:r>
      <w:r>
        <w:rPr/>
        <w:t xml:space="preserve"> delay will be 0,5 min instead of 8,5.</w:t>
      </w:r>
    </w:p>
    <w:p>
      <w:pPr>
        <w:pStyle w:val="Normal"/>
        <w:jc w:val="both"/>
        <w:rPr/>
      </w:pPr>
      <w:r>
        <w:rPr/>
      </w:r>
    </w:p>
    <w:p>
      <w:pPr>
        <w:pStyle w:val="Normal"/>
        <w:jc w:val="both"/>
        <w:rPr/>
      </w:pPr>
      <w:r>
        <w:rPr/>
        <w:t>This study has been w</w:t>
      </w:r>
      <w:r>
        <w:rPr/>
        <w:t xml:space="preserve">elcomed by airlines </w:t>
      </w:r>
      <w:r>
        <w:rPr/>
        <w:t>(even if there is some suspicion) and got a</w:t>
      </w:r>
      <w:r>
        <w:rPr/>
        <w:t xml:space="preserve"> surprising support from CANSO (</w:t>
      </w:r>
      <w:r>
        <w:rPr/>
        <w:t xml:space="preserve">especially the </w:t>
      </w:r>
      <w:r>
        <w:rPr/>
        <w:t xml:space="preserve">A6 group, </w:t>
      </w:r>
      <w:r>
        <w:rPr/>
        <w:t xml:space="preserve">that </w:t>
      </w:r>
      <w:r>
        <w:rPr/>
        <w:t>believe</w:t>
      </w:r>
      <w:r>
        <w:rPr/>
        <w:t>s</w:t>
      </w:r>
      <w:r>
        <w:rPr/>
        <w:t xml:space="preserve"> they have been heard and </w:t>
      </w:r>
      <w:r>
        <w:rPr/>
        <w:t xml:space="preserve">are </w:t>
      </w:r>
      <w:r>
        <w:rPr/>
        <w:t>leading the process).</w:t>
      </w:r>
    </w:p>
    <w:p>
      <w:pPr>
        <w:pStyle w:val="Normal"/>
        <w:jc w:val="both"/>
        <w:rPr/>
      </w:pPr>
      <w:r>
        <w:rPr/>
      </w:r>
    </w:p>
    <w:p>
      <w:pPr>
        <w:pStyle w:val="Normal"/>
        <w:jc w:val="both"/>
        <w:rPr/>
      </w:pPr>
      <w:r>
        <w:rPr/>
        <w:t xml:space="preserve">The </w:t>
      </w:r>
      <w:r>
        <w:rPr/>
        <w:t xml:space="preserve">Wise </w:t>
      </w:r>
      <w:r>
        <w:rPr/>
        <w:t>P</w:t>
      </w:r>
      <w:r>
        <w:rPr/>
        <w:t xml:space="preserve">ersons </w:t>
      </w:r>
      <w:r>
        <w:rPr/>
        <w:t>G</w:t>
      </w:r>
      <w:r>
        <w:rPr/>
        <w:t>roup will soon review the study.</w:t>
      </w:r>
    </w:p>
    <w:p>
      <w:pPr>
        <w:pStyle w:val="Normal"/>
        <w:pBdr>
          <w:bottom w:val="single" w:sz="2" w:space="2" w:color="000000"/>
        </w:pBdr>
        <w:jc w:val="both"/>
        <w:rPr/>
      </w:pPr>
      <w:r>
        <w:rPr/>
      </w:r>
    </w:p>
    <w:p>
      <w:pPr>
        <w:pStyle w:val="Normal"/>
        <w:jc w:val="both"/>
        <w:rPr/>
      </w:pPr>
      <w:r>
        <w:rPr/>
      </w:r>
    </w:p>
    <w:p>
      <w:pPr>
        <w:pStyle w:val="Normal"/>
        <w:jc w:val="both"/>
        <w:rPr/>
      </w:pPr>
      <w:r>
        <w:rPr>
          <w:b/>
          <w:bCs/>
        </w:rPr>
        <w:t xml:space="preserve">ICB </w:t>
      </w:r>
      <w:r>
        <w:rPr>
          <w:b/>
          <w:bCs/>
        </w:rPr>
        <w:t>report</w:t>
      </w:r>
      <w:r>
        <w:rPr/>
        <w:t xml:space="preserve"> </w:t>
      </w:r>
      <w:r>
        <w:rPr/>
        <w:t>(Daniel)</w:t>
      </w:r>
    </w:p>
    <w:p>
      <w:pPr>
        <w:pStyle w:val="Normal"/>
        <w:jc w:val="both"/>
        <w:rPr/>
      </w:pPr>
      <w:r>
        <w:rPr/>
      </w:r>
    </w:p>
    <w:p>
      <w:pPr>
        <w:pStyle w:val="Normal"/>
        <w:jc w:val="both"/>
        <w:rPr/>
      </w:pPr>
      <w:r>
        <w:rPr/>
        <w:t xml:space="preserve">3 ways to proceed </w:t>
      </w:r>
      <w:r>
        <w:rPr/>
        <w:t xml:space="preserve">have been </w:t>
      </w:r>
      <w:r>
        <w:rPr/>
        <w:t>proposed :</w:t>
      </w:r>
    </w:p>
    <w:p>
      <w:pPr>
        <w:pStyle w:val="Normal"/>
        <w:jc w:val="both"/>
        <w:rPr/>
      </w:pPr>
      <w:r>
        <w:rPr/>
        <w:t xml:space="preserve">- finalise </w:t>
      </w:r>
      <w:r>
        <w:rPr/>
        <w:t xml:space="preserve">the </w:t>
      </w:r>
      <w:r>
        <w:rPr/>
        <w:t xml:space="preserve">current version, saying </w:t>
      </w:r>
      <w:r>
        <w:rPr/>
        <w:t xml:space="preserve">there is </w:t>
      </w:r>
      <w:r>
        <w:rPr/>
        <w:t>no agreement.</w:t>
      </w:r>
    </w:p>
    <w:p>
      <w:pPr>
        <w:pStyle w:val="Normal"/>
        <w:jc w:val="both"/>
        <w:rPr/>
      </w:pPr>
      <w:r>
        <w:rPr/>
        <w:t>- continue work until agreement, working in smaller groups (only 2 members of PSO)</w:t>
      </w:r>
    </w:p>
    <w:p>
      <w:pPr>
        <w:pStyle w:val="Normal"/>
        <w:jc w:val="both"/>
        <w:rPr/>
      </w:pPr>
      <w:r>
        <w:rPr/>
        <w:t>- stop and start working on endorsement of the Airspace Architecture Study</w:t>
      </w:r>
    </w:p>
    <w:p>
      <w:pPr>
        <w:pStyle w:val="Normal"/>
        <w:jc w:val="both"/>
        <w:rPr/>
      </w:pPr>
      <w:r>
        <w:rPr/>
      </w:r>
    </w:p>
    <w:p>
      <w:pPr>
        <w:pStyle w:val="Normal"/>
        <w:jc w:val="both"/>
        <w:rPr/>
      </w:pPr>
      <w:r>
        <w:rPr/>
        <w:t>A n</w:t>
      </w:r>
      <w:r>
        <w:rPr/>
        <w:t xml:space="preserve">ew chair </w:t>
      </w:r>
      <w:r>
        <w:rPr/>
        <w:t xml:space="preserve">has been appointed </w:t>
      </w:r>
      <w:r>
        <w:rPr/>
        <w:t>: Jerry O’connell.</w:t>
      </w:r>
    </w:p>
    <w:p>
      <w:pPr>
        <w:pStyle w:val="Normal"/>
        <w:jc w:val="both"/>
        <w:rPr/>
      </w:pPr>
      <w:r>
        <w:rPr/>
      </w:r>
    </w:p>
    <w:p>
      <w:pPr>
        <w:pStyle w:val="Normal"/>
        <w:jc w:val="both"/>
        <w:rPr/>
      </w:pPr>
      <w:r>
        <w:rPr/>
        <w:t xml:space="preserve">Principles regarding SES : safety is priority, </w:t>
      </w:r>
      <w:r>
        <w:rPr/>
        <w:t xml:space="preserve">the </w:t>
      </w:r>
      <w:r>
        <w:rPr/>
        <w:t xml:space="preserve">purpose of </w:t>
      </w:r>
      <w:r>
        <w:rPr/>
        <w:t xml:space="preserve">the </w:t>
      </w:r>
      <w:r>
        <w:rPr/>
        <w:t>network is to move passengers from A to B, ANSP</w:t>
      </w:r>
      <w:r>
        <w:rPr/>
        <w:t>s</w:t>
      </w:r>
      <w:r>
        <w:rPr/>
        <w:t xml:space="preserve"> act only in the interest of the customer, network centric approach, discipline (airlines disagree),</w:t>
      </w:r>
      <w:r>
        <w:rPr/>
        <w:t xml:space="preserve"> ...</w:t>
      </w:r>
    </w:p>
    <w:p>
      <w:pPr>
        <w:pStyle w:val="Normal"/>
        <w:jc w:val="both"/>
        <w:rPr/>
      </w:pPr>
      <w:r>
        <w:rPr/>
      </w:r>
    </w:p>
    <w:p>
      <w:pPr>
        <w:pStyle w:val="Normal"/>
        <w:jc w:val="both"/>
        <w:rPr/>
      </w:pPr>
      <w:r>
        <w:rPr/>
        <w:t>Seamless operation</w:t>
      </w:r>
    </w:p>
    <w:p>
      <w:pPr>
        <w:pStyle w:val="Normal"/>
        <w:jc w:val="both"/>
        <w:rPr/>
      </w:pPr>
      <w:r>
        <w:rPr/>
        <w:t>New SES chair Christine Berg.</w:t>
      </w:r>
    </w:p>
    <w:p>
      <w:pPr>
        <w:pStyle w:val="Normal"/>
        <w:jc w:val="both"/>
        <w:rPr/>
      </w:pPr>
      <w:r>
        <w:rPr/>
        <w:t xml:space="preserve">Erevyone agress but one airline group (aire and IATA), request ATM at zero cost and fly direct from A to B. </w:t>
      </w:r>
    </w:p>
    <w:p>
      <w:pPr>
        <w:pStyle w:val="Normal"/>
        <w:jc w:val="both"/>
        <w:rPr/>
      </w:pPr>
      <w:r>
        <w:rPr/>
      </w:r>
    </w:p>
    <w:p>
      <w:pPr>
        <w:pStyle w:val="Normal"/>
        <w:jc w:val="both"/>
        <w:rPr/>
      </w:pPr>
      <w:r>
        <w:rPr/>
        <w:t>Next vision workshop and ISG at 10th April.</w:t>
      </w:r>
    </w:p>
    <w:p>
      <w:pPr>
        <w:pStyle w:val="Normal"/>
        <w:jc w:val="both"/>
        <w:rPr/>
      </w:pPr>
      <w:r>
        <w:rPr/>
      </w:r>
    </w:p>
    <w:p>
      <w:pPr>
        <w:pStyle w:val="Normal"/>
        <w:jc w:val="both"/>
        <w:rPr/>
      </w:pPr>
      <w:r>
        <w:rPr/>
        <w:t>ICB tries to change the way it’s working, in smaller groups and reducing PSOs presence.</w:t>
      </w:r>
    </w:p>
    <w:p>
      <w:pPr>
        <w:pStyle w:val="Normal"/>
        <w:pBdr>
          <w:bottom w:val="single" w:sz="2" w:space="2" w:color="000000"/>
        </w:pBdr>
        <w:jc w:val="both"/>
        <w:rPr/>
      </w:pPr>
      <w:r>
        <w:rPr/>
      </w:r>
    </w:p>
    <w:p>
      <w:pPr>
        <w:pStyle w:val="Normal"/>
        <w:jc w:val="both"/>
        <w:rPr/>
      </w:pPr>
      <w:r>
        <w:rPr/>
      </w:r>
    </w:p>
    <w:p>
      <w:pPr>
        <w:pStyle w:val="Normal"/>
        <w:jc w:val="both"/>
        <w:rPr>
          <w:b/>
          <w:b/>
          <w:bCs/>
        </w:rPr>
      </w:pPr>
      <w:r>
        <w:rPr>
          <w:b/>
          <w:bCs/>
        </w:rPr>
        <w:t>EGHD</w:t>
      </w:r>
    </w:p>
    <w:p>
      <w:pPr>
        <w:pStyle w:val="Normal"/>
        <w:jc w:val="both"/>
        <w:rPr/>
      </w:pPr>
      <w:r>
        <w:rPr/>
      </w:r>
    </w:p>
    <w:p>
      <w:pPr>
        <w:pStyle w:val="Normal"/>
        <w:jc w:val="both"/>
        <w:rPr/>
      </w:pPr>
      <w:r>
        <w:rPr/>
        <w:t>The EGHD has d</w:t>
      </w:r>
      <w:r>
        <w:rPr/>
        <w:t xml:space="preserve">elivered a paper about optimising ATM staff working stations </w:t>
      </w:r>
      <w:r>
        <w:rPr/>
        <w:t xml:space="preserve">in </w:t>
      </w:r>
      <w:r>
        <w:rPr/>
        <w:t>december 2018.</w:t>
      </w:r>
    </w:p>
    <w:p>
      <w:pPr>
        <w:pStyle w:val="Normal"/>
        <w:jc w:val="both"/>
        <w:rPr/>
      </w:pPr>
      <w:r>
        <w:rPr/>
        <w:t>The n</w:t>
      </w:r>
      <w:r>
        <w:rPr/>
        <w:t>ext topic will be about « staffing capacity and mobility </w:t>
      </w:r>
      <w:r>
        <w:rPr/>
        <w:t>(with the help of Helios). ETF didn’t choose this subject because it’s mainly a social issue, but everyone else in the group chose it.</w:t>
      </w:r>
    </w:p>
    <w:p>
      <w:pPr>
        <w:pStyle w:val="Normal"/>
        <w:jc w:val="both"/>
        <w:rPr/>
      </w:pPr>
      <w:r>
        <w:rPr/>
        <w:t>The upcoming p</w:t>
      </w:r>
      <w:r>
        <w:rPr/>
        <w:t xml:space="preserve">aper should </w:t>
      </w:r>
      <w:r>
        <w:rPr/>
        <w:t>tackle</w:t>
      </w:r>
      <w:r>
        <w:rPr/>
        <w:t xml:space="preserve"> trai</w:t>
      </w:r>
      <w:r>
        <w:rPr/>
        <w:t>n</w:t>
      </w:r>
      <w:r>
        <w:rPr/>
        <w:t>ing, competencies, change management, virtual and physical mobility of staff, cross-border ATM services.</w:t>
      </w:r>
    </w:p>
    <w:p>
      <w:pPr>
        <w:pStyle w:val="Normal"/>
        <w:pBdr>
          <w:bottom w:val="single" w:sz="2" w:space="2" w:color="000000"/>
        </w:pBdr>
        <w:jc w:val="both"/>
        <w:rPr/>
      </w:pPr>
      <w:r>
        <w:rPr/>
        <w:t>Please provide examples of current cross-border operations to show the Commission.</w:t>
      </w:r>
    </w:p>
    <w:p>
      <w:pPr>
        <w:pStyle w:val="Normal"/>
        <w:pBdr>
          <w:bottom w:val="single" w:sz="2" w:space="2" w:color="000000"/>
        </w:pBdr>
        <w:jc w:val="both"/>
        <w:rPr/>
      </w:pPr>
      <w:r>
        <w:rPr/>
      </w:r>
    </w:p>
    <w:p>
      <w:pPr>
        <w:pStyle w:val="Normal"/>
        <w:jc w:val="both"/>
        <w:rPr>
          <w:b/>
          <w:b/>
          <w:bCs/>
        </w:rPr>
      </w:pPr>
      <w:r>
        <w:rPr>
          <w:b/>
          <w:bCs/>
        </w:rPr>
        <w:t>SESAR</w:t>
      </w:r>
    </w:p>
    <w:p>
      <w:pPr>
        <w:pStyle w:val="Normal"/>
        <w:jc w:val="both"/>
        <w:rPr/>
      </w:pPr>
      <w:r>
        <w:rPr/>
      </w:r>
    </w:p>
    <w:p>
      <w:pPr>
        <w:pStyle w:val="Normal"/>
        <w:jc w:val="both"/>
        <w:rPr>
          <w:u w:val="single"/>
        </w:rPr>
      </w:pPr>
      <w:r>
        <w:rPr>
          <w:u w:val="single"/>
        </w:rPr>
        <w:t>SESARJU</w:t>
      </w:r>
    </w:p>
    <w:p>
      <w:pPr>
        <w:pStyle w:val="Normal"/>
        <w:jc w:val="both"/>
        <w:rPr/>
      </w:pPr>
      <w:r>
        <w:rPr/>
      </w:r>
    </w:p>
    <w:p>
      <w:pPr>
        <w:pStyle w:val="Normal"/>
        <w:jc w:val="both"/>
        <w:rPr/>
      </w:pPr>
      <w:r>
        <w:rPr/>
        <w:t>Reps of ETF attended their f</w:t>
      </w:r>
      <w:r>
        <w:rPr/>
        <w:t>irst activiti</w:t>
      </w:r>
      <w:r>
        <w:rPr/>
        <w:t xml:space="preserve">es </w:t>
      </w:r>
      <w:r>
        <w:rPr/>
        <w:t>in January 2019. We are not inside the research project, only validation phases. Our goal is to be as present as we can, and provide reports, that way interacting indirectly with project managers. This is more powerful because we provide input as one entity, not a single person.</w:t>
      </w:r>
    </w:p>
    <w:p>
      <w:pPr>
        <w:pStyle w:val="Normal"/>
        <w:jc w:val="both"/>
        <w:rPr/>
      </w:pPr>
      <w:r>
        <w:rPr/>
        <w:t>Reps are re-imbursed by SESAR when they attend activities.</w:t>
      </w:r>
    </w:p>
    <w:p>
      <w:pPr>
        <w:pStyle w:val="Normal"/>
        <w:jc w:val="both"/>
        <w:rPr/>
      </w:pPr>
      <w:r>
        <w:rPr/>
        <w:t xml:space="preserve">Activities </w:t>
      </w:r>
      <w:r>
        <w:rPr/>
        <w:t xml:space="preserve">happening </w:t>
      </w:r>
      <w:r>
        <w:rPr/>
        <w:t xml:space="preserve">in </w:t>
      </w:r>
      <w:r>
        <w:rPr/>
        <w:t xml:space="preserve">the </w:t>
      </w:r>
      <w:r>
        <w:rPr/>
        <w:t>next month</w:t>
      </w:r>
      <w:r>
        <w:rPr/>
        <w:t>s are mainly on</w:t>
      </w:r>
      <w:r>
        <w:rPr/>
        <w:t xml:space="preserve"> remote towers and drones. Christian and Helena  </w:t>
      </w:r>
      <w:r>
        <w:rPr/>
        <w:t xml:space="preserve">will attend a CORUS day on </w:t>
      </w:r>
      <w:r>
        <w:rPr/>
        <w:t>April 2</w:t>
      </w:r>
      <w:r>
        <w:rPr/>
        <w:t>nd and</w:t>
      </w:r>
      <w:r>
        <w:rPr/>
        <w:t xml:space="preserve"> 3</w:t>
      </w:r>
      <w:r>
        <w:rPr/>
        <w:t>rd</w:t>
      </w:r>
      <w:r>
        <w:rPr/>
        <w:t>.</w:t>
      </w:r>
    </w:p>
    <w:p>
      <w:pPr>
        <w:pStyle w:val="Normal"/>
        <w:jc w:val="both"/>
        <w:rPr/>
      </w:pPr>
      <w:r>
        <w:rPr/>
        <w:t>The current issue is that</w:t>
      </w:r>
      <w:r>
        <w:rPr/>
        <w:t xml:space="preserve"> we can only attend OpenDays, and not </w:t>
      </w:r>
      <w:r>
        <w:rPr/>
        <w:t xml:space="preserve">the </w:t>
      </w:r>
      <w:r>
        <w:rPr/>
        <w:t xml:space="preserve">full validation </w:t>
      </w:r>
      <w:r>
        <w:rPr/>
        <w:t>process</w:t>
      </w:r>
      <w:r>
        <w:rPr/>
        <w:t>.</w:t>
      </w:r>
    </w:p>
    <w:p>
      <w:pPr>
        <w:pStyle w:val="Normal"/>
        <w:jc w:val="both"/>
        <w:rPr/>
      </w:pPr>
      <w:r>
        <w:rPr/>
      </w:r>
    </w:p>
    <w:p>
      <w:pPr>
        <w:pStyle w:val="Normal"/>
        <w:jc w:val="both"/>
        <w:rPr/>
      </w:pPr>
      <w:r>
        <w:rPr>
          <w:u w:val="single"/>
        </w:rPr>
        <w:t>SESAR DM</w:t>
      </w:r>
      <w:r>
        <w:rPr/>
        <w:t> (industrialisation, after research)</w:t>
      </w:r>
    </w:p>
    <w:p>
      <w:pPr>
        <w:pStyle w:val="Normal"/>
        <w:jc w:val="both"/>
        <w:rPr/>
      </w:pPr>
      <w:r>
        <w:rPr/>
      </w:r>
    </w:p>
    <w:p>
      <w:pPr>
        <w:pStyle w:val="Normal"/>
        <w:jc w:val="both"/>
        <w:rPr/>
      </w:pPr>
      <w:r>
        <w:rPr/>
        <w:t>U</w:t>
      </w:r>
      <w:r>
        <w:rPr/>
        <w:t>ntil now, we didn’t have any contact, which is changing currently.</w:t>
      </w:r>
    </w:p>
    <w:p>
      <w:pPr>
        <w:pStyle w:val="Normal"/>
        <w:jc w:val="both"/>
        <w:rPr/>
      </w:pPr>
      <w:r>
        <w:rPr/>
        <w:t xml:space="preserve">The </w:t>
      </w:r>
      <w:r>
        <w:rPr/>
        <w:t>European Commission decided to drop the CP2 and only update the PCP.</w:t>
      </w:r>
    </w:p>
    <w:p>
      <w:pPr>
        <w:pStyle w:val="Normal"/>
        <w:pBdr>
          <w:bottom w:val="single" w:sz="2" w:space="2" w:color="000000"/>
        </w:pBdr>
        <w:jc w:val="both"/>
        <w:rPr/>
      </w:pPr>
      <w:r>
        <w:rPr/>
      </w:r>
    </w:p>
    <w:p>
      <w:pPr>
        <w:pStyle w:val="Normal"/>
        <w:jc w:val="both"/>
        <w:rPr/>
      </w:pPr>
      <w:r>
        <w:rPr/>
      </w:r>
    </w:p>
    <w:p>
      <w:pPr>
        <w:pStyle w:val="Normal"/>
        <w:jc w:val="both"/>
        <w:rPr>
          <w:b/>
          <w:b/>
          <w:bCs/>
        </w:rPr>
      </w:pPr>
      <w:r>
        <w:rPr>
          <w:b/>
          <w:bCs/>
        </w:rPr>
        <w:t>Wise Persons Group</w:t>
      </w:r>
    </w:p>
    <w:p>
      <w:pPr>
        <w:pStyle w:val="Normal"/>
        <w:jc w:val="both"/>
        <w:rPr/>
      </w:pPr>
      <w:r>
        <w:rPr/>
      </w:r>
    </w:p>
    <w:p>
      <w:pPr>
        <w:pStyle w:val="Normal"/>
        <w:jc w:val="both"/>
        <w:rPr/>
      </w:pPr>
      <w:r>
        <w:rPr/>
        <w:t xml:space="preserve">Volker Dick from ATCEUC </w:t>
      </w:r>
      <w:r>
        <w:rPr/>
        <w:t xml:space="preserve">is </w:t>
      </w:r>
      <w:r>
        <w:rPr/>
        <w:t>representing staff.</w:t>
      </w:r>
    </w:p>
    <w:p>
      <w:pPr>
        <w:pStyle w:val="Normal"/>
        <w:jc w:val="both"/>
        <w:rPr/>
      </w:pPr>
      <w:r>
        <w:rPr/>
        <w:t xml:space="preserve">WPG had </w:t>
      </w:r>
      <w:r>
        <w:rPr/>
        <w:t xml:space="preserve">a hearing of ETF on Dec 12th, 2018. ETF contribution </w:t>
      </w:r>
      <w:r>
        <w:rPr/>
        <w:t xml:space="preserve">is being </w:t>
      </w:r>
      <w:r>
        <w:rPr/>
        <w:t>distributed to the WPG members.</w:t>
      </w:r>
    </w:p>
    <w:p>
      <w:pPr>
        <w:pStyle w:val="Normal"/>
        <w:pBdr>
          <w:bottom w:val="single" w:sz="2" w:space="2" w:color="000000"/>
        </w:pBdr>
        <w:jc w:val="both"/>
        <w:rPr/>
      </w:pPr>
      <w:r>
        <w:rPr/>
      </w:r>
    </w:p>
    <w:p>
      <w:pPr>
        <w:pStyle w:val="Normal"/>
        <w:jc w:val="both"/>
        <w:rPr/>
      </w:pPr>
      <w:r>
        <w:rPr/>
      </w:r>
    </w:p>
    <w:p>
      <w:pPr>
        <w:pStyle w:val="Normal"/>
        <w:jc w:val="both"/>
        <w:rPr>
          <w:b/>
          <w:b/>
          <w:bCs/>
        </w:rPr>
      </w:pPr>
      <w:r>
        <w:rPr>
          <w:b/>
          <w:bCs/>
        </w:rPr>
        <w:t>Social Dialogue</w:t>
      </w:r>
    </w:p>
    <w:p>
      <w:pPr>
        <w:pStyle w:val="Normal"/>
        <w:jc w:val="both"/>
        <w:rPr/>
      </w:pPr>
      <w:r>
        <w:rPr/>
      </w:r>
    </w:p>
    <w:p>
      <w:pPr>
        <w:pStyle w:val="Normal"/>
        <w:jc w:val="both"/>
        <w:rPr/>
      </w:pPr>
      <w:r>
        <w:rPr/>
        <w:t xml:space="preserve">For the next step, </w:t>
      </w:r>
      <w:r>
        <w:rPr/>
        <w:t xml:space="preserve">we will have </w:t>
      </w:r>
      <w:r>
        <w:rPr/>
        <w:t>one project for the whole section</w:t>
      </w:r>
    </w:p>
    <w:p>
      <w:pPr>
        <w:pStyle w:val="Normal"/>
        <w:jc w:val="both"/>
        <w:rPr/>
      </w:pPr>
      <w:r>
        <w:rPr/>
        <w:t>The n</w:t>
      </w:r>
      <w:r>
        <w:rPr/>
        <w:t xml:space="preserve">ext </w:t>
      </w:r>
      <w:r>
        <w:rPr/>
        <w:t>ATM Working Group will take place on October 24th</w:t>
      </w:r>
      <w:r>
        <w:rPr/>
        <w:t xml:space="preserve"> 2019.</w:t>
      </w:r>
    </w:p>
    <w:p>
      <w:pPr>
        <w:pStyle w:val="Normal"/>
        <w:jc w:val="both"/>
        <w:rPr/>
      </w:pPr>
      <w:r>
        <w:rPr/>
        <w:t>The n</w:t>
      </w:r>
      <w:r>
        <w:rPr/>
        <w:t xml:space="preserve">ext </w:t>
      </w:r>
      <w:r>
        <w:rPr/>
        <w:t>C</w:t>
      </w:r>
      <w:r>
        <w:rPr/>
        <w:t xml:space="preserve">ivil </w:t>
      </w:r>
      <w:r>
        <w:rPr/>
        <w:t>A</w:t>
      </w:r>
      <w:r>
        <w:rPr/>
        <w:t xml:space="preserve">viation </w:t>
      </w:r>
      <w:r>
        <w:rPr/>
        <w:t>S</w:t>
      </w:r>
      <w:r>
        <w:rPr/>
        <w:t xml:space="preserve">ectorial </w:t>
      </w:r>
      <w:r>
        <w:rPr/>
        <w:t>S</w:t>
      </w:r>
      <w:r>
        <w:rPr/>
        <w:t xml:space="preserve">ocial </w:t>
      </w:r>
      <w:r>
        <w:rPr/>
        <w:t>D</w:t>
      </w:r>
      <w:r>
        <w:rPr/>
        <w:t xml:space="preserve">ialogue will be </w:t>
      </w:r>
      <w:r>
        <w:rPr/>
        <w:t xml:space="preserve">on </w:t>
      </w:r>
      <w:r>
        <w:rPr/>
        <w:t>June 21</w:t>
      </w:r>
      <w:r>
        <w:rPr/>
        <w:t>st</w:t>
      </w:r>
      <w:r>
        <w:rPr/>
        <w:t xml:space="preserve"> 2019.</w:t>
      </w:r>
    </w:p>
    <w:p>
      <w:pPr>
        <w:pStyle w:val="Normal"/>
        <w:pBdr>
          <w:bottom w:val="single" w:sz="2" w:space="2" w:color="000000"/>
        </w:pBdr>
        <w:jc w:val="both"/>
        <w:rPr/>
      </w:pPr>
      <w:r>
        <w:rPr/>
      </w:r>
    </w:p>
    <w:p>
      <w:pPr>
        <w:pStyle w:val="Normal"/>
        <w:jc w:val="both"/>
        <w:rPr/>
      </w:pPr>
      <w:r>
        <w:rPr/>
      </w:r>
    </w:p>
    <w:p>
      <w:pPr>
        <w:pStyle w:val="Normal"/>
        <w:jc w:val="both"/>
        <w:rPr/>
      </w:pPr>
      <w:r>
        <w:rPr/>
      </w:r>
    </w:p>
    <w:sectPr>
      <w:headerReference w:type="default" r:id="rId2"/>
      <w:footerReference w:type="default" r:id="rId3"/>
      <w:type w:val="nextPage"/>
      <w:pgSz w:w="11906" w:h="16838"/>
      <w:pgMar w:left="1134" w:right="1418" w:header="720" w:top="1135" w:footer="567" w:bottom="1985"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ahoma">
    <w:charset w:val="01"/>
    <w:family w:val="roman"/>
    <w:pitch w:val="variable"/>
  </w:font>
  <w:font w:name="Calibri">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065" w:type="dxa"/>
      <w:jc w:val="center"/>
      <w:tblInd w:w="0" w:type="dxa"/>
      <w:tblBorders/>
      <w:tblCellMar>
        <w:top w:w="0" w:type="dxa"/>
        <w:left w:w="70" w:type="dxa"/>
        <w:bottom w:w="0" w:type="dxa"/>
        <w:right w:w="70" w:type="dxa"/>
      </w:tblCellMar>
      <w:tblLook w:lastRow="0" w:firstRow="0" w:lastColumn="0" w:firstColumn="0" w:val="0000" w:noHBand="0" w:noVBand="0"/>
    </w:tblPr>
    <w:tblGrid>
      <w:gridCol w:w="1134"/>
      <w:gridCol w:w="7655"/>
      <w:gridCol w:w="1276"/>
    </w:tblGrid>
    <w:tr>
      <w:trPr/>
      <w:tc>
        <w:tcPr>
          <w:tcW w:w="1134" w:type="dxa"/>
          <w:tcBorders/>
          <w:shd w:fill="auto" w:val="clear"/>
        </w:tcPr>
        <w:p>
          <w:pPr>
            <w:pStyle w:val="Normal"/>
            <w:rPr/>
          </w:pPr>
          <w:r>
            <w:rPr/>
            <w:drawing>
              <wp:inline distT="0" distB="0" distL="0" distR="0">
                <wp:extent cx="552450" cy="552450"/>
                <wp:effectExtent l="0" t="0" r="0" b="0"/>
                <wp:docPr id="4" name="Picture 11" descr="International Transport Workers' Federation (I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International Transport Workers' Federation (ITF)"/>
                        <pic:cNvPicPr>
                          <a:picLocks noChangeAspect="1" noChangeArrowheads="1"/>
                        </pic:cNvPicPr>
                      </pic:nvPicPr>
                      <pic:blipFill>
                        <a:blip r:embed="rId1"/>
                        <a:stretch>
                          <a:fillRect/>
                        </a:stretch>
                      </pic:blipFill>
                      <pic:spPr bwMode="auto">
                        <a:xfrm>
                          <a:off x="0" y="0"/>
                          <a:ext cx="552450" cy="552450"/>
                        </a:xfrm>
                        <a:prstGeom prst="rect">
                          <a:avLst/>
                        </a:prstGeom>
                      </pic:spPr>
                    </pic:pic>
                  </a:graphicData>
                </a:graphic>
              </wp:inline>
            </w:drawing>
          </w:r>
        </w:p>
      </w:tc>
      <w:tc>
        <w:tcPr>
          <w:tcW w:w="7655" w:type="dxa"/>
          <w:tcBorders>
            <w:top w:val="single" w:sz="4" w:space="0" w:color="000000"/>
          </w:tcBorders>
          <w:shd w:fill="auto" w:val="clear"/>
        </w:tcPr>
        <w:p>
          <w:pPr>
            <w:pStyle w:val="Normal"/>
            <w:rPr>
              <w:sz w:val="18"/>
            </w:rPr>
          </w:pPr>
          <w:r>
            <w:rPr>
              <w:sz w:val="18"/>
            </w:rPr>
          </w:r>
        </w:p>
        <w:p>
          <w:pPr>
            <w:pStyle w:val="Normal"/>
            <w:tabs>
              <w:tab w:val="right" w:pos="7515" w:leader="none"/>
            </w:tabs>
            <w:rPr>
              <w:sz w:val="18"/>
              <w:lang w:val="en-US"/>
            </w:rPr>
          </w:pPr>
          <w:r>
            <w:rPr>
              <w:b/>
              <w:sz w:val="18"/>
              <w:lang w:val="en-US"/>
            </w:rPr>
            <w:t>President</w:t>
          </w:r>
          <w:r>
            <w:rPr>
              <w:sz w:val="18"/>
              <w:lang w:val="en-US"/>
            </w:rPr>
            <w:t xml:space="preserve"> Frank Moreels</w:t>
            <w:tab/>
          </w:r>
          <w:r>
            <w:rPr>
              <w:b/>
              <w:sz w:val="18"/>
              <w:lang w:val="en-US"/>
            </w:rPr>
            <w:t>Vice Presidents</w:t>
          </w:r>
          <w:r>
            <w:rPr>
              <w:sz w:val="18"/>
              <w:lang w:val="en-US"/>
            </w:rPr>
            <w:t xml:space="preserve"> Alexander Kirchner</w:t>
          </w:r>
        </w:p>
        <w:p>
          <w:pPr>
            <w:pStyle w:val="Normal"/>
            <w:tabs>
              <w:tab w:val="right" w:pos="7515" w:leader="none"/>
            </w:tabs>
            <w:rPr>
              <w:sz w:val="18"/>
              <w:lang w:val="es-ES"/>
            </w:rPr>
          </w:pPr>
          <w:r>
            <w:rPr>
              <w:sz w:val="18"/>
              <w:lang w:val="en-US"/>
            </w:rPr>
            <w:tab/>
          </w:r>
          <w:r>
            <w:rPr>
              <w:sz w:val="18"/>
              <w:lang w:val="es-ES"/>
            </w:rPr>
            <w:t>Ekaterina Yordanova</w:t>
          </w:r>
        </w:p>
        <w:p>
          <w:pPr>
            <w:pStyle w:val="Normal"/>
            <w:rPr>
              <w:sz w:val="18"/>
              <w:lang w:val="pt-PT"/>
            </w:rPr>
          </w:pPr>
          <w:r>
            <w:rPr>
              <w:sz w:val="18"/>
              <w:lang w:val="es-ES"/>
            </w:rPr>
            <w:t xml:space="preserve">                                     </w:t>
          </w:r>
        </w:p>
      </w:tc>
      <w:tc>
        <w:tcPr>
          <w:tcW w:w="1276" w:type="dxa"/>
          <w:tcBorders/>
          <w:shd w:fill="auto" w:val="clear"/>
        </w:tcPr>
        <w:p>
          <w:pPr>
            <w:pStyle w:val="Normal"/>
            <w:rPr>
              <w:lang w:val="pt-PT"/>
            </w:rPr>
          </w:pPr>
          <w:r>
            <w:rPr/>
            <w:drawing>
              <wp:inline distT="0" distB="9525" distL="0" distR="0">
                <wp:extent cx="742950" cy="371475"/>
                <wp:effectExtent l="0" t="0" r="0" b="0"/>
                <wp:docPr id="5" name="Picture 12" descr="\\192.168.111.21\general-data\ADMINISTRATION\ETF ITF Logo\ETUC logo\New ETUC logo 2013\LOGO_ETUC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192.168.111.21\general-data\ADMINISTRATION\ETF ITF Logo\ETUC logo\New ETUC logo 2013\LOGO_ETUC_RVB.jpg"/>
                        <pic:cNvPicPr>
                          <a:picLocks noChangeAspect="1" noChangeArrowheads="1"/>
                        </pic:cNvPicPr>
                      </pic:nvPicPr>
                      <pic:blipFill>
                        <a:blip r:embed="rId2"/>
                        <a:stretch>
                          <a:fillRect/>
                        </a:stretch>
                      </pic:blipFill>
                      <pic:spPr bwMode="auto">
                        <a:xfrm>
                          <a:off x="0" y="0"/>
                          <a:ext cx="742950" cy="371475"/>
                        </a:xfrm>
                        <a:prstGeom prst="rect">
                          <a:avLst/>
                        </a:prstGeom>
                      </pic:spPr>
                    </pic:pic>
                  </a:graphicData>
                </a:graphic>
              </wp:inline>
            </w:drawing>
          </w:r>
        </w:p>
      </w:tc>
    </w:tr>
  </w:tbl>
  <w:p>
    <w:pPr>
      <w:pStyle w:val="Pieddepage"/>
      <w:rPr/>
    </w:pPr>
    <w:r>
      <w:rPr/>
      <w:tab/>
    </w:r>
    <w:r>
      <w:rPr>
        <w:b/>
        <w:sz w:val="18"/>
        <w:lang w:val="en-US"/>
      </w:rPr>
      <w:t xml:space="preserve">Acting General Secretary </w:t>
    </w:r>
    <w:r>
      <w:rPr>
        <w:sz w:val="18"/>
        <w:lang w:val="en-US"/>
      </w:rPr>
      <w:t>Livia Spera</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lang w:val="es-ES"/>
      </w:rPr>
    </w:pPr>
    <w:r>
      <w:rPr>
        <w:lang w:val="es-ES"/>
      </w:rPr>
    </w:r>
    <w:r>
      <mc:AlternateContent>
        <mc:Choice Requires="wps">
          <w:drawing>
            <wp:anchor behindDoc="0" distT="0" distB="0" distL="114300" distR="114300" simplePos="0" locked="0" layoutInCell="1" allowOverlap="1" relativeHeight="10">
              <wp:simplePos x="0" y="0"/>
              <wp:positionH relativeFrom="margin">
                <wp:align>center</wp:align>
              </wp:positionH>
              <wp:positionV relativeFrom="page">
                <wp:posOffset>460375</wp:posOffset>
              </wp:positionV>
              <wp:extent cx="6391275" cy="1155700"/>
              <wp:effectExtent l="0" t="0" r="0" b="0"/>
              <wp:wrapSquare wrapText="bothSides"/>
              <wp:docPr id="1" name="Cadre1"/>
              <a:graphic xmlns:a="http://schemas.openxmlformats.org/drawingml/2006/main">
                <a:graphicData uri="http://schemas.microsoft.com/office/word/2010/wordprocessingShape">
                  <wps:wsp>
                    <wps:cNvSpPr txBox="1"/>
                    <wps:spPr>
                      <a:xfrm>
                        <a:off x="0" y="0"/>
                        <a:ext cx="6391275" cy="1155700"/>
                      </a:xfrm>
                      <a:prstGeom prst="rect"/>
                    </wps:spPr>
                    <wps:txbx>
                      <w:txbxContent>
                        <w:tbl>
                          <w:tblPr>
                            <w:tblpPr w:bottomFromText="0" w:horzAnchor="margin" w:leftFromText="180" w:rightFromText="180" w:tblpX="0" w:tblpXSpec="center" w:tblpY="725" w:topFromText="0" w:vertAnchor="page"/>
                            <w:tblW w:w="10065" w:type="dxa"/>
                            <w:jc w:val="center"/>
                            <w:tblInd w:w="0" w:type="dxa"/>
                            <w:tblBorders/>
                            <w:tblCellMar>
                              <w:top w:w="0" w:type="dxa"/>
                              <w:left w:w="70" w:type="dxa"/>
                              <w:bottom w:w="0" w:type="dxa"/>
                              <w:right w:w="70" w:type="dxa"/>
                            </w:tblCellMar>
                            <w:tblLook w:lastRow="0" w:firstRow="0" w:lastColumn="0" w:firstColumn="0" w:val="0000" w:noHBand="0" w:noVBand="0"/>
                          </w:tblPr>
                          <w:tblGrid>
                            <w:gridCol w:w="1913"/>
                            <w:gridCol w:w="3402"/>
                            <w:gridCol w:w="4750"/>
                          </w:tblGrid>
                          <w:tr>
                            <w:trPr>
                              <w:trHeight w:val="1698" w:hRule="atLeast"/>
                            </w:trPr>
                            <w:tc>
                              <w:tcPr>
                                <w:tcW w:w="1913" w:type="dxa"/>
                                <w:tcBorders/>
                                <w:shd w:fill="auto" w:val="clear"/>
                              </w:tcPr>
                              <w:p>
                                <w:pPr>
                                  <w:pStyle w:val="Entte"/>
                                  <w:tabs>
                                    <w:tab w:val="clear" w:pos="4536"/>
                                    <w:tab w:val="clear" w:pos="9072"/>
                                  </w:tabs>
                                  <w:ind w:left="1134" w:hanging="1134"/>
                                  <w:rPr/>
                                </w:pPr>
                                <w:r>
                                  <w:rPr/>
                                  <w:drawing>
                                    <wp:inline distT="0" distB="9525" distL="0" distR="0">
                                      <wp:extent cx="1162050" cy="1133475"/>
                                      <wp:effectExtent l="0" t="0" r="0" b="0"/>
                                      <wp:docPr id="2"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
                                              <pic:cNvPicPr>
                                                <a:picLocks noChangeAspect="1" noChangeArrowheads="1"/>
                                              </pic:cNvPicPr>
                                            </pic:nvPicPr>
                                            <pic:blipFill>
                                              <a:blip r:embed="rId1"/>
                                              <a:stretch>
                                                <a:fillRect/>
                                              </a:stretch>
                                            </pic:blipFill>
                                            <pic:spPr bwMode="auto">
                                              <a:xfrm>
                                                <a:off x="0" y="0"/>
                                                <a:ext cx="1162050" cy="1133475"/>
                                              </a:xfrm>
                                              <a:prstGeom prst="rect">
                                                <a:avLst/>
                                              </a:prstGeom>
                                            </pic:spPr>
                                          </pic:pic>
                                        </a:graphicData>
                                      </a:graphic>
                                    </wp:inline>
                                  </w:drawing>
                                </w:r>
                                <w:bookmarkStart w:id="2" w:name="__UnoMark__1553_903554486"/>
                                <w:bookmarkEnd w:id="2"/>
                              </w:p>
                            </w:tc>
                            <w:tc>
                              <w:tcPr>
                                <w:tcW w:w="3402" w:type="dxa"/>
                                <w:tcBorders>
                                  <w:top w:val="single" w:sz="4" w:space="0" w:color="000000"/>
                                  <w:bottom w:val="single" w:sz="4" w:space="0" w:color="000000"/>
                                  <w:insideH w:val="single" w:sz="4" w:space="0" w:color="000000"/>
                                </w:tcBorders>
                                <w:shd w:fill="auto" w:val="clear"/>
                              </w:tcPr>
                              <w:p>
                                <w:pPr>
                                  <w:pStyle w:val="Normal"/>
                                  <w:rPr>
                                    <w:sz w:val="18"/>
                                    <w:szCs w:val="18"/>
                                  </w:rPr>
                                </w:pPr>
                                <w:r>
                                  <w:rPr>
                                    <w:sz w:val="18"/>
                                    <w:szCs w:val="18"/>
                                  </w:rPr>
                                </w:r>
                                <w:bookmarkStart w:id="3" w:name="__UnoMark__1554_903554486"/>
                                <w:bookmarkStart w:id="4" w:name="__UnoMark__1554_903554486"/>
                                <w:bookmarkEnd w:id="4"/>
                              </w:p>
                              <w:p>
                                <w:pPr>
                                  <w:pStyle w:val="Normal"/>
                                  <w:rPr/>
                                </w:pPr>
                                <w:r>
                                  <w:rPr>
                                    <w:sz w:val="18"/>
                                    <w:szCs w:val="18"/>
                                    <w:lang w:val="fr-FR"/>
                                  </w:rPr>
                                  <w:t>Galerie Agora,</w:t>
                                </w:r>
                              </w:p>
                              <w:p>
                                <w:pPr>
                                  <w:pStyle w:val="Normal"/>
                                  <w:rPr/>
                                </w:pPr>
                                <w:r>
                                  <w:rPr>
                                    <w:sz w:val="18"/>
                                    <w:szCs w:val="18"/>
                                    <w:lang w:val="fr-FR"/>
                                  </w:rPr>
                                  <w:t>Rue du Marché aux Herbes 105, Bte 11</w:t>
                                </w:r>
                              </w:p>
                              <w:p>
                                <w:pPr>
                                  <w:pStyle w:val="Normal"/>
                                  <w:rPr/>
                                </w:pPr>
                                <w:r>
                                  <w:rPr>
                                    <w:sz w:val="18"/>
                                    <w:szCs w:val="18"/>
                                  </w:rPr>
                                  <w:t>B-1000 Brussels</w:t>
                                </w:r>
                              </w:p>
                              <w:p>
                                <w:pPr>
                                  <w:pStyle w:val="Normal"/>
                                  <w:rPr/>
                                </w:pPr>
                                <w:r>
                                  <w:rPr>
                                    <w:sz w:val="18"/>
                                    <w:szCs w:val="18"/>
                                  </w:rPr>
                                  <w:t>Telephone +32 2 285 46 60</w:t>
                                </w:r>
                              </w:p>
                              <w:p>
                                <w:pPr>
                                  <w:pStyle w:val="Normal"/>
                                  <w:rPr/>
                                </w:pPr>
                                <w:r>
                                  <w:rPr>
                                    <w:sz w:val="18"/>
                                    <w:szCs w:val="18"/>
                                    <w:lang w:val="fr-FR"/>
                                  </w:rPr>
                                  <w:t>Fax +32 2 280 08 17</w:t>
                                </w:r>
                              </w:p>
                              <w:p>
                                <w:pPr>
                                  <w:pStyle w:val="Normal"/>
                                  <w:rPr/>
                                </w:pPr>
                                <w:r>
                                  <w:rPr>
                                    <w:sz w:val="18"/>
                                    <w:szCs w:val="18"/>
                                    <w:lang w:val="fr-FR"/>
                                  </w:rPr>
                                  <w:t xml:space="preserve">Email: </w:t>
                                </w:r>
                                <w:hyperlink r:id="rId2">
                                  <w:r>
                                    <w:rPr>
                                      <w:rStyle w:val="LienInternet"/>
                                      <w:sz w:val="18"/>
                                      <w:szCs w:val="18"/>
                                      <w:lang w:val="fr-FR"/>
                                    </w:rPr>
                                    <w:t>etf@etf-europe.org</w:t>
                                  </w:r>
                                </w:hyperlink>
                                <w:r>
                                  <w:rPr>
                                    <w:sz w:val="18"/>
                                    <w:szCs w:val="18"/>
                                    <w:lang w:val="fr-FR"/>
                                  </w:rPr>
                                  <w:t xml:space="preserve"> </w:t>
                                </w:r>
                              </w:p>
                              <w:p>
                                <w:pPr>
                                  <w:pStyle w:val="Normal"/>
                                  <w:rPr/>
                                </w:pPr>
                                <w:hyperlink r:id="rId3">
                                  <w:r>
                                    <w:rPr>
                                      <w:rStyle w:val="LienInternet"/>
                                      <w:sz w:val="18"/>
                                      <w:szCs w:val="18"/>
                                      <w:lang w:val="fr-FR"/>
                                    </w:rPr>
                                    <w:t>www.etf-europe.org</w:t>
                                  </w:r>
                                </w:hyperlink>
                                <w:r>
                                  <w:rPr>
                                    <w:sz w:val="18"/>
                                    <w:szCs w:val="18"/>
                                    <w:lang w:val="fr-FR"/>
                                  </w:rPr>
                                  <w:t xml:space="preserve"> </w:t>
                                </w:r>
                                <w:bookmarkStart w:id="5" w:name="__UnoMark__1555_903554486"/>
                                <w:bookmarkEnd w:id="5"/>
                              </w:p>
                            </w:tc>
                            <w:tc>
                              <w:tcPr>
                                <w:tcW w:w="4750" w:type="dxa"/>
                                <w:tcBorders>
                                  <w:top w:val="single" w:sz="4" w:space="0" w:color="000000"/>
                                  <w:bottom w:val="single" w:sz="4" w:space="0" w:color="000000"/>
                                  <w:insideH w:val="single" w:sz="4" w:space="0" w:color="000000"/>
                                </w:tcBorders>
                                <w:shd w:fill="auto" w:val="clear"/>
                              </w:tcPr>
                              <w:p>
                                <w:pPr>
                                  <w:pStyle w:val="Normal"/>
                                  <w:rPr>
                                    <w:sz w:val="18"/>
                                    <w:szCs w:val="18"/>
                                    <w:lang w:val="fr-FR"/>
                                  </w:rPr>
                                </w:pPr>
                                <w:r>
                                  <w:rPr>
                                    <w:sz w:val="18"/>
                                    <w:szCs w:val="18"/>
                                    <w:lang w:val="fr-FR"/>
                                  </w:rPr>
                                </w:r>
                                <w:bookmarkStart w:id="6" w:name="__UnoMark__1556_903554486"/>
                                <w:bookmarkStart w:id="7" w:name="__UnoMark__1556_903554486"/>
                                <w:bookmarkEnd w:id="7"/>
                              </w:p>
                              <w:p>
                                <w:pPr>
                                  <w:pStyle w:val="Normal"/>
                                  <w:rPr/>
                                </w:pPr>
                                <w:r>
                                  <w:rPr>
                                    <w:sz w:val="18"/>
                                    <w:szCs w:val="18"/>
                                    <w:lang w:val="fr-BE"/>
                                  </w:rPr>
                                  <w:t>European Transport Workers’ Federation</w:t>
                                </w:r>
                              </w:p>
                              <w:p>
                                <w:pPr>
                                  <w:pStyle w:val="Normal"/>
                                  <w:rPr/>
                                </w:pPr>
                                <w:r>
                                  <w:rPr>
                                    <w:sz w:val="18"/>
                                    <w:szCs w:val="18"/>
                                    <w:lang w:val="fr-FR"/>
                                  </w:rPr>
                                  <w:t>Fédération Européenne des Travailleurs des Transports</w:t>
                                </w:r>
                              </w:p>
                              <w:p>
                                <w:pPr>
                                  <w:pStyle w:val="Normal"/>
                                  <w:rPr/>
                                </w:pPr>
                                <w:r>
                                  <w:rPr>
                                    <w:sz w:val="18"/>
                                    <w:szCs w:val="18"/>
                                    <w:lang w:val="es-ES_tradnl"/>
                                  </w:rPr>
                                  <w:t>Europäische Transportarbeiter-Föderation</w:t>
                                </w:r>
                              </w:p>
                              <w:p>
                                <w:pPr>
                                  <w:pStyle w:val="Normal"/>
                                  <w:rPr/>
                                </w:pPr>
                                <w:r>
                                  <w:rPr>
                                    <w:sz w:val="18"/>
                                    <w:szCs w:val="18"/>
                                    <w:lang w:val="es-ES_tradnl"/>
                                  </w:rPr>
                                  <w:t>Federación Europea de los Trabajadores del Transporte</w:t>
                                </w:r>
                              </w:p>
                              <w:p>
                                <w:pPr>
                                  <w:pStyle w:val="Normal"/>
                                  <w:rPr>
                                    <w:sz w:val="18"/>
                                    <w:szCs w:val="18"/>
                                    <w:lang w:val="es-ES_tradnl"/>
                                  </w:rPr>
                                </w:pPr>
                                <w:r>
                                  <w:rPr>
                                    <w:sz w:val="18"/>
                                    <w:szCs w:val="18"/>
                                    <w:lang w:val="es-ES_tradnl"/>
                                  </w:rPr>
                                </w:r>
                              </w:p>
                              <w:p>
                                <w:pPr>
                                  <w:pStyle w:val="Normal"/>
                                  <w:rPr>
                                    <w:sz w:val="22"/>
                                    <w:szCs w:val="18"/>
                                    <w:lang w:val="es-ES_tradnl"/>
                                  </w:rPr>
                                </w:pPr>
                                <w:r>
                                  <w:rPr>
                                    <w:sz w:val="22"/>
                                    <w:szCs w:val="18"/>
                                    <w:lang w:val="es-ES_tradnl"/>
                                  </w:rPr>
                                </w:r>
                              </w:p>
                            </w:tc>
                          </w:tr>
                        </w:tbl>
                      </w:txbxContent>
                    </wps:txbx>
                    <wps:bodyPr anchor="t" lIns="0" tIns="0" rIns="0" bIns="0">
                      <a:spAutoFit/>
                    </wps:bodyPr>
                  </wps:wsp>
                </a:graphicData>
              </a:graphic>
            </wp:anchor>
          </w:drawing>
        </mc:Choice>
        <mc:Fallback>
          <w:pict>
            <v:rect style="position:absolute;rotation:0;width:503.25pt;height:91pt;mso-wrap-distance-left:9pt;mso-wrap-distance-right:9pt;mso-wrap-distance-top:0pt;mso-wrap-distance-bottom:0pt;margin-top:36.25pt;mso-position-vertical-relative:page;margin-left:-17.75pt;mso-position-horizontal:center;mso-position-horizontal-relative:margin">
              <v:textbox inset="0in,0in,0in,0in">
                <w:txbxContent>
                  <w:tbl>
                    <w:tblPr>
                      <w:tblpPr w:bottomFromText="0" w:horzAnchor="margin" w:leftFromText="180" w:rightFromText="180" w:tblpX="0" w:tblpXSpec="center" w:tblpY="725" w:topFromText="0" w:vertAnchor="page"/>
                      <w:tblW w:w="10065" w:type="dxa"/>
                      <w:jc w:val="center"/>
                      <w:tblInd w:w="0" w:type="dxa"/>
                      <w:tblBorders/>
                      <w:tblCellMar>
                        <w:top w:w="0" w:type="dxa"/>
                        <w:left w:w="70" w:type="dxa"/>
                        <w:bottom w:w="0" w:type="dxa"/>
                        <w:right w:w="70" w:type="dxa"/>
                      </w:tblCellMar>
                      <w:tblLook w:lastRow="0" w:firstRow="0" w:lastColumn="0" w:firstColumn="0" w:val="0000" w:noHBand="0" w:noVBand="0"/>
                    </w:tblPr>
                    <w:tblGrid>
                      <w:gridCol w:w="1913"/>
                      <w:gridCol w:w="3402"/>
                      <w:gridCol w:w="4750"/>
                    </w:tblGrid>
                    <w:tr>
                      <w:trPr>
                        <w:trHeight w:val="1698" w:hRule="atLeast"/>
                      </w:trPr>
                      <w:tc>
                        <w:tcPr>
                          <w:tcW w:w="1913" w:type="dxa"/>
                          <w:tcBorders/>
                          <w:shd w:fill="auto" w:val="clear"/>
                        </w:tcPr>
                        <w:p>
                          <w:pPr>
                            <w:pStyle w:val="Entte"/>
                            <w:tabs>
                              <w:tab w:val="clear" w:pos="4536"/>
                              <w:tab w:val="clear" w:pos="9072"/>
                            </w:tabs>
                            <w:ind w:left="1134" w:hanging="1134"/>
                            <w:rPr/>
                          </w:pPr>
                          <w:r>
                            <w:rPr/>
                            <w:drawing>
                              <wp:inline distT="0" distB="9525" distL="0" distR="0">
                                <wp:extent cx="1162050" cy="1133475"/>
                                <wp:effectExtent l="0" t="0" r="0" b="0"/>
                                <wp:docPr id="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descr=""/>
                                        <pic:cNvPicPr>
                                          <a:picLocks noChangeAspect="1" noChangeArrowheads="1"/>
                                        </pic:cNvPicPr>
                                      </pic:nvPicPr>
                                      <pic:blipFill>
                                        <a:blip r:embed="rId1"/>
                                        <a:stretch>
                                          <a:fillRect/>
                                        </a:stretch>
                                      </pic:blipFill>
                                      <pic:spPr bwMode="auto">
                                        <a:xfrm>
                                          <a:off x="0" y="0"/>
                                          <a:ext cx="1162050" cy="1133475"/>
                                        </a:xfrm>
                                        <a:prstGeom prst="rect">
                                          <a:avLst/>
                                        </a:prstGeom>
                                      </pic:spPr>
                                    </pic:pic>
                                  </a:graphicData>
                                </a:graphic>
                              </wp:inline>
                            </w:drawing>
                          </w:r>
                          <w:bookmarkStart w:id="8" w:name="__UnoMark__1553_903554486"/>
                          <w:bookmarkEnd w:id="8"/>
                        </w:p>
                      </w:tc>
                      <w:tc>
                        <w:tcPr>
                          <w:tcW w:w="3402" w:type="dxa"/>
                          <w:tcBorders>
                            <w:top w:val="single" w:sz="4" w:space="0" w:color="000000"/>
                            <w:bottom w:val="single" w:sz="4" w:space="0" w:color="000000"/>
                            <w:insideH w:val="single" w:sz="4" w:space="0" w:color="000000"/>
                          </w:tcBorders>
                          <w:shd w:fill="auto" w:val="clear"/>
                        </w:tcPr>
                        <w:p>
                          <w:pPr>
                            <w:pStyle w:val="Normal"/>
                            <w:rPr>
                              <w:sz w:val="18"/>
                              <w:szCs w:val="18"/>
                            </w:rPr>
                          </w:pPr>
                          <w:r>
                            <w:rPr>
                              <w:sz w:val="18"/>
                              <w:szCs w:val="18"/>
                            </w:rPr>
                          </w:r>
                          <w:bookmarkStart w:id="9" w:name="__UnoMark__1554_903554486"/>
                          <w:bookmarkStart w:id="10" w:name="__UnoMark__1554_903554486"/>
                          <w:bookmarkEnd w:id="10"/>
                        </w:p>
                        <w:p>
                          <w:pPr>
                            <w:pStyle w:val="Normal"/>
                            <w:rPr/>
                          </w:pPr>
                          <w:r>
                            <w:rPr>
                              <w:sz w:val="18"/>
                              <w:szCs w:val="18"/>
                              <w:lang w:val="fr-FR"/>
                            </w:rPr>
                            <w:t>Galerie Agora,</w:t>
                          </w:r>
                        </w:p>
                        <w:p>
                          <w:pPr>
                            <w:pStyle w:val="Normal"/>
                            <w:rPr/>
                          </w:pPr>
                          <w:r>
                            <w:rPr>
                              <w:sz w:val="18"/>
                              <w:szCs w:val="18"/>
                              <w:lang w:val="fr-FR"/>
                            </w:rPr>
                            <w:t>Rue du Marché aux Herbes 105, Bte 11</w:t>
                          </w:r>
                        </w:p>
                        <w:p>
                          <w:pPr>
                            <w:pStyle w:val="Normal"/>
                            <w:rPr/>
                          </w:pPr>
                          <w:r>
                            <w:rPr>
                              <w:sz w:val="18"/>
                              <w:szCs w:val="18"/>
                            </w:rPr>
                            <w:t>B-1000 Brussels</w:t>
                          </w:r>
                        </w:p>
                        <w:p>
                          <w:pPr>
                            <w:pStyle w:val="Normal"/>
                            <w:rPr/>
                          </w:pPr>
                          <w:r>
                            <w:rPr>
                              <w:sz w:val="18"/>
                              <w:szCs w:val="18"/>
                            </w:rPr>
                            <w:t>Telephone +32 2 285 46 60</w:t>
                          </w:r>
                        </w:p>
                        <w:p>
                          <w:pPr>
                            <w:pStyle w:val="Normal"/>
                            <w:rPr/>
                          </w:pPr>
                          <w:r>
                            <w:rPr>
                              <w:sz w:val="18"/>
                              <w:szCs w:val="18"/>
                              <w:lang w:val="fr-FR"/>
                            </w:rPr>
                            <w:t>Fax +32 2 280 08 17</w:t>
                          </w:r>
                        </w:p>
                        <w:p>
                          <w:pPr>
                            <w:pStyle w:val="Normal"/>
                            <w:rPr/>
                          </w:pPr>
                          <w:r>
                            <w:rPr>
                              <w:sz w:val="18"/>
                              <w:szCs w:val="18"/>
                              <w:lang w:val="fr-FR"/>
                            </w:rPr>
                            <w:t xml:space="preserve">Email: </w:t>
                          </w:r>
                          <w:hyperlink r:id="rId4">
                            <w:r>
                              <w:rPr>
                                <w:rStyle w:val="LienInternet"/>
                                <w:sz w:val="18"/>
                                <w:szCs w:val="18"/>
                                <w:lang w:val="fr-FR"/>
                              </w:rPr>
                              <w:t>etf@etf-europe.org</w:t>
                            </w:r>
                          </w:hyperlink>
                          <w:r>
                            <w:rPr>
                              <w:sz w:val="18"/>
                              <w:szCs w:val="18"/>
                              <w:lang w:val="fr-FR"/>
                            </w:rPr>
                            <w:t xml:space="preserve"> </w:t>
                          </w:r>
                        </w:p>
                        <w:p>
                          <w:pPr>
                            <w:pStyle w:val="Normal"/>
                            <w:rPr/>
                          </w:pPr>
                          <w:hyperlink r:id="rId5">
                            <w:r>
                              <w:rPr>
                                <w:rStyle w:val="LienInternet"/>
                                <w:sz w:val="18"/>
                                <w:szCs w:val="18"/>
                                <w:lang w:val="fr-FR"/>
                              </w:rPr>
                              <w:t>www.etf-europe.org</w:t>
                            </w:r>
                          </w:hyperlink>
                          <w:r>
                            <w:rPr>
                              <w:sz w:val="18"/>
                              <w:szCs w:val="18"/>
                              <w:lang w:val="fr-FR"/>
                            </w:rPr>
                            <w:t xml:space="preserve"> </w:t>
                          </w:r>
                          <w:bookmarkStart w:id="11" w:name="__UnoMark__1555_903554486"/>
                          <w:bookmarkEnd w:id="11"/>
                        </w:p>
                      </w:tc>
                      <w:tc>
                        <w:tcPr>
                          <w:tcW w:w="4750" w:type="dxa"/>
                          <w:tcBorders>
                            <w:top w:val="single" w:sz="4" w:space="0" w:color="000000"/>
                            <w:bottom w:val="single" w:sz="4" w:space="0" w:color="000000"/>
                            <w:insideH w:val="single" w:sz="4" w:space="0" w:color="000000"/>
                          </w:tcBorders>
                          <w:shd w:fill="auto" w:val="clear"/>
                        </w:tcPr>
                        <w:p>
                          <w:pPr>
                            <w:pStyle w:val="Normal"/>
                            <w:rPr>
                              <w:sz w:val="18"/>
                              <w:szCs w:val="18"/>
                              <w:lang w:val="fr-FR"/>
                            </w:rPr>
                          </w:pPr>
                          <w:r>
                            <w:rPr>
                              <w:sz w:val="18"/>
                              <w:szCs w:val="18"/>
                              <w:lang w:val="fr-FR"/>
                            </w:rPr>
                          </w:r>
                          <w:bookmarkStart w:id="12" w:name="__UnoMark__1556_903554486"/>
                          <w:bookmarkStart w:id="13" w:name="__UnoMark__1556_903554486"/>
                          <w:bookmarkEnd w:id="13"/>
                        </w:p>
                        <w:p>
                          <w:pPr>
                            <w:pStyle w:val="Normal"/>
                            <w:rPr/>
                          </w:pPr>
                          <w:r>
                            <w:rPr>
                              <w:sz w:val="18"/>
                              <w:szCs w:val="18"/>
                              <w:lang w:val="fr-BE"/>
                            </w:rPr>
                            <w:t>European Transport Workers’ Federation</w:t>
                          </w:r>
                        </w:p>
                        <w:p>
                          <w:pPr>
                            <w:pStyle w:val="Normal"/>
                            <w:rPr/>
                          </w:pPr>
                          <w:r>
                            <w:rPr>
                              <w:sz w:val="18"/>
                              <w:szCs w:val="18"/>
                              <w:lang w:val="fr-FR"/>
                            </w:rPr>
                            <w:t>Fédération Européenne des Travailleurs des Transports</w:t>
                          </w:r>
                        </w:p>
                        <w:p>
                          <w:pPr>
                            <w:pStyle w:val="Normal"/>
                            <w:rPr/>
                          </w:pPr>
                          <w:r>
                            <w:rPr>
                              <w:sz w:val="18"/>
                              <w:szCs w:val="18"/>
                              <w:lang w:val="es-ES_tradnl"/>
                            </w:rPr>
                            <w:t>Europäische Transportarbeiter-Föderation</w:t>
                          </w:r>
                        </w:p>
                        <w:p>
                          <w:pPr>
                            <w:pStyle w:val="Normal"/>
                            <w:rPr/>
                          </w:pPr>
                          <w:r>
                            <w:rPr>
                              <w:sz w:val="18"/>
                              <w:szCs w:val="18"/>
                              <w:lang w:val="es-ES_tradnl"/>
                            </w:rPr>
                            <w:t>Federación Europea de los Trabajadores del Transporte</w:t>
                          </w:r>
                        </w:p>
                        <w:p>
                          <w:pPr>
                            <w:pStyle w:val="Normal"/>
                            <w:rPr>
                              <w:sz w:val="18"/>
                              <w:szCs w:val="18"/>
                              <w:lang w:val="es-ES_tradnl"/>
                            </w:rPr>
                          </w:pPr>
                          <w:r>
                            <w:rPr>
                              <w:sz w:val="18"/>
                              <w:szCs w:val="18"/>
                              <w:lang w:val="es-ES_tradnl"/>
                            </w:rPr>
                          </w:r>
                        </w:p>
                        <w:p>
                          <w:pPr>
                            <w:pStyle w:val="Normal"/>
                            <w:rPr>
                              <w:sz w:val="22"/>
                              <w:szCs w:val="18"/>
                              <w:lang w:val="es-ES_tradnl"/>
                            </w:rPr>
                          </w:pPr>
                          <w:r>
                            <w:rPr>
                              <w:sz w:val="22"/>
                              <w:szCs w:val="18"/>
                              <w:lang w:val="es-ES_tradnl"/>
                            </w:rPr>
                          </w:r>
                        </w:p>
                      </w:tc>
                    </w:tr>
                  </w:tbl>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Arial" w:hAnsi="Arial" w:eastAsia="Times New Roman" w:cs="Times New Roman"/>
      <w:color w:val="000000"/>
      <w:kern w:val="0"/>
      <w:sz w:val="24"/>
      <w:szCs w:val="20"/>
      <w:lang w:val="en-IE" w:eastAsia="fr-FR" w:bidi="ar-SA"/>
    </w:rPr>
  </w:style>
  <w:style w:type="paragraph" w:styleId="Titre1">
    <w:name w:val="Heading 1"/>
    <w:basedOn w:val="Normal"/>
    <w:next w:val="Normal"/>
    <w:qFormat/>
    <w:pPr>
      <w:keepNext w:val="true"/>
      <w:outlineLvl w:val="0"/>
    </w:pPr>
    <w:rPr>
      <w:i/>
      <w:iCs/>
      <w:sz w:val="19"/>
      <w:lang w:val="fr-FR"/>
    </w:rPr>
  </w:style>
  <w:style w:type="paragraph" w:styleId="Titre2">
    <w:name w:val="Heading 2"/>
    <w:basedOn w:val="Normal"/>
    <w:next w:val="Normal"/>
    <w:qFormat/>
    <w:pPr>
      <w:keepNext w:val="true"/>
      <w:outlineLvl w:val="1"/>
    </w:pPr>
    <w:rPr>
      <w:i/>
      <w:iCs/>
      <w:sz w:val="18"/>
      <w:lang w:val="fr-FR"/>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LienInternet">
    <w:name w:val="Lien Internet"/>
    <w:basedOn w:val="DefaultParagraphFont"/>
    <w:rsid w:val="00113620"/>
    <w:rPr>
      <w:color w:val="0000FF"/>
      <w:u w:val="single"/>
    </w:rPr>
  </w:style>
  <w:style w:type="character" w:styleId="FooterChar" w:customStyle="1">
    <w:name w:val="Footer Char"/>
    <w:basedOn w:val="DefaultParagraphFont"/>
    <w:link w:val="Footer"/>
    <w:uiPriority w:val="99"/>
    <w:qFormat/>
    <w:rsid w:val="00a93c1a"/>
    <w:rPr>
      <w:rFonts w:ascii="Arial" w:hAnsi="Arial"/>
      <w:color w:val="000000"/>
      <w:sz w:val="24"/>
      <w:lang w:val="en-GB" w:eastAsia="fr-FR"/>
    </w:rPr>
  </w:style>
  <w:style w:type="character" w:styleId="Normal6Char" w:customStyle="1">
    <w:name w:val="Normal6 Char"/>
    <w:link w:val="Normal6"/>
    <w:qFormat/>
    <w:rsid w:val="00ec7ebd"/>
    <w:rPr>
      <w:sz w:val="24"/>
      <w:lang w:val="en-GB" w:eastAsia="en-GB"/>
    </w:rPr>
  </w:style>
  <w:style w:type="character" w:styleId="UnresolvedMention" w:customStyle="1">
    <w:name w:val="Unresolved Mention"/>
    <w:basedOn w:val="DefaultParagraphFont"/>
    <w:uiPriority w:val="99"/>
    <w:semiHidden/>
    <w:unhideWhenUsed/>
    <w:qFormat/>
    <w:rsid w:val="008d349d"/>
    <w:rPr>
      <w:color w:val="605E5C"/>
      <w:shd w:fill="E1DFDD" w:val="clear"/>
    </w:rPr>
  </w:style>
  <w:style w:type="character" w:styleId="ListLabel1">
    <w:name w:val="ListLabel 1"/>
    <w:qFormat/>
    <w:rPr>
      <w:b w:val="false"/>
    </w:rPr>
  </w:style>
  <w:style w:type="character" w:styleId="ListLabel2">
    <w:name w:val="ListLabel 2"/>
    <w:qFormat/>
    <w:rPr>
      <w:b w:val="false"/>
    </w:rPr>
  </w:style>
  <w:style w:type="character" w:styleId="ListLabel3">
    <w:name w:val="ListLabel 3"/>
    <w:qFormat/>
    <w:rPr>
      <w:sz w:val="18"/>
      <w:szCs w:val="18"/>
      <w:lang w:val="fr-FR"/>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Noto Sans CJK SC Regular" w:cs="Lohit Devanagari"/>
      <w:sz w:val="28"/>
      <w:szCs w:val="28"/>
    </w:rPr>
  </w:style>
  <w:style w:type="paragraph" w:styleId="Corpsdetexte">
    <w:name w:val="Body Text"/>
    <w:basedOn w:val="Normal"/>
    <w:pPr>
      <w:jc w:val="center"/>
    </w:pPr>
    <w:rPr>
      <w:b/>
      <w:bCs/>
      <w:color w:val="auto"/>
      <w:sz w:val="28"/>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
    <w:name w:val="Header"/>
    <w:basedOn w:val="Normal"/>
    <w:pPr>
      <w:tabs>
        <w:tab w:val="center" w:pos="4536" w:leader="none"/>
        <w:tab w:val="right" w:pos="9072" w:leader="none"/>
      </w:tabs>
    </w:pPr>
    <w:rPr/>
  </w:style>
  <w:style w:type="paragraph" w:styleId="Pieddepage">
    <w:name w:val="Footer"/>
    <w:basedOn w:val="Normal"/>
    <w:link w:val="FooterChar"/>
    <w:uiPriority w:val="99"/>
    <w:pPr>
      <w:tabs>
        <w:tab w:val="center" w:pos="4536" w:leader="none"/>
        <w:tab w:val="right" w:pos="9072" w:leader="none"/>
      </w:tabs>
    </w:pPr>
    <w:rPr/>
  </w:style>
  <w:style w:type="paragraph" w:styleId="Titreprincipal">
    <w:name w:val="Title"/>
    <w:basedOn w:val="Normal"/>
    <w:qFormat/>
    <w:pPr>
      <w:jc w:val="center"/>
    </w:pPr>
    <w:rPr>
      <w:rFonts w:ascii="Times New Roman" w:hAnsi="Times New Roman"/>
      <w:b/>
      <w:bCs/>
      <w:color w:val="auto"/>
      <w:szCs w:val="24"/>
      <w:lang w:val="fr-FR"/>
    </w:rPr>
  </w:style>
  <w:style w:type="paragraph" w:styleId="BalloonText">
    <w:name w:val="Balloon Text"/>
    <w:basedOn w:val="Normal"/>
    <w:semiHidden/>
    <w:qFormat/>
    <w:pPr/>
    <w:rPr>
      <w:rFonts w:ascii="Tahoma" w:hAnsi="Tahoma" w:cs="Tahoma"/>
      <w:sz w:val="16"/>
      <w:szCs w:val="16"/>
    </w:rPr>
  </w:style>
  <w:style w:type="paragraph" w:styleId="ListParagraph">
    <w:name w:val="List Paragraph"/>
    <w:basedOn w:val="Normal"/>
    <w:uiPriority w:val="34"/>
    <w:qFormat/>
    <w:rsid w:val="005013d8"/>
    <w:pPr>
      <w:spacing w:lineRule="auto" w:line="259" w:before="0" w:after="160"/>
      <w:ind w:left="720" w:hanging="0"/>
      <w:contextualSpacing/>
    </w:pPr>
    <w:rPr>
      <w:rFonts w:ascii="Calibri" w:hAnsi="Calibri" w:eastAsia="Calibri" w:cs="" w:asciiTheme="minorHAnsi" w:cstheme="minorBidi" w:eastAsiaTheme="minorHAnsi" w:hAnsiTheme="minorHAnsi"/>
      <w:color w:val="auto"/>
      <w:sz w:val="22"/>
      <w:szCs w:val="22"/>
      <w:lang w:eastAsia="en-US"/>
    </w:rPr>
  </w:style>
  <w:style w:type="paragraph" w:styleId="Normal6" w:customStyle="1">
    <w:name w:val="Normal6"/>
    <w:basedOn w:val="Normal"/>
    <w:link w:val="Normal6Char"/>
    <w:qFormat/>
    <w:rsid w:val="00ec7ebd"/>
    <w:pPr>
      <w:widowControl w:val="false"/>
      <w:spacing w:before="0" w:after="120"/>
    </w:pPr>
    <w:rPr>
      <w:rFonts w:ascii="Times New Roman" w:hAnsi="Times New Roman"/>
      <w:color w:val="auto"/>
      <w:lang w:val="en-GB" w:eastAsia="en-GB"/>
    </w:rPr>
  </w:style>
  <w:style w:type="paragraph" w:styleId="Norm" w:customStyle="1">
    <w:name w:val="norm"/>
    <w:basedOn w:val="Normal"/>
    <w:qFormat/>
    <w:rsid w:val="00ec7ebd"/>
    <w:pPr>
      <w:spacing w:beforeAutospacing="1" w:afterAutospacing="1"/>
    </w:pPr>
    <w:rPr>
      <w:rFonts w:ascii="Times New Roman" w:hAnsi="Times New Roman"/>
      <w:color w:val="auto"/>
      <w:szCs w:val="24"/>
      <w:lang w:val="en-GB" w:eastAsia="en-GB"/>
    </w:rPr>
  </w:style>
  <w:style w:type="paragraph" w:styleId="Default" w:customStyle="1">
    <w:name w:val="Default"/>
    <w:qFormat/>
    <w:rsid w:val="00ec7ebd"/>
    <w:pPr>
      <w:widowControl/>
      <w:bidi w:val="0"/>
      <w:jc w:val="left"/>
    </w:pPr>
    <w:rPr>
      <w:rFonts w:eastAsia="Calibri" w:eastAsiaTheme="minorHAnsi" w:ascii="Times New Roman" w:hAnsi="Times New Roman" w:cs="Times New Roman"/>
      <w:color w:val="000000"/>
      <w:kern w:val="0"/>
      <w:sz w:val="24"/>
      <w:szCs w:val="24"/>
      <w:lang w:val="de-DE" w:eastAsia="en-US"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Grid1">
    <w:name w:val="Table Grid1"/>
    <w:basedOn w:val="TableNormal"/>
    <w:uiPriority w:val="59"/>
    <w:rsid w:val="000f5108"/>
    <w:rPr>
      <w:lang w:val="nl-N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0f510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etf@etf-europe.org" TargetMode="External"/><Relationship Id="rId3" Type="http://schemas.openxmlformats.org/officeDocument/2006/relationships/hyperlink" Target="http://www.etf-europe.org/" TargetMode="External"/><Relationship Id="rId4" Type="http://schemas.openxmlformats.org/officeDocument/2006/relationships/hyperlink" Target="mailto:etf@etf-europe.org" TargetMode="External"/><Relationship Id="rId5" Type="http://schemas.openxmlformats.org/officeDocument/2006/relationships/hyperlink" Target="http://www.etf-europe.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LibreOffice/6.0.7.3$Linux_X86_64 LibreOffice_project/00m0$Build-3</Application>
  <Pages>5</Pages>
  <Words>1810</Words>
  <Characters>8777</Characters>
  <CharactersWithSpaces>10574</CharactersWithSpaces>
  <Paragraphs>105</Paragraphs>
  <Company>ÖTV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2019-05-20T08:50:00Z</dcterms:created>
  <dc:creator>Marion Dhaille</dc:creator>
  <dc:description/>
  <dc:language>fr-FR</dc:language>
  <cp:lastModifiedBy/>
  <cp:lastPrinted>2018-10-24T11:37:00Z</cp:lastPrinted>
  <dcterms:modified xsi:type="dcterms:W3CDTF">2019-06-12T10:42:27Z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ÖTV</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